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48" w:rsidRPr="00FB03F2" w:rsidRDefault="005B5C48" w:rsidP="00316596">
      <w:pPr>
        <w:rPr>
          <w:rFonts w:ascii="標楷體" w:eastAsia="標楷體" w:hAnsi="標楷體" w:cs="新細明體"/>
          <w:b/>
          <w:color w:val="000000"/>
          <w:kern w:val="0"/>
          <w:sz w:val="32"/>
          <w:szCs w:val="24"/>
        </w:rPr>
      </w:pPr>
      <w:r w:rsidRPr="009369A9">
        <w:rPr>
          <w:rFonts w:ascii="標楷體" w:eastAsia="標楷體" w:hAnsi="標楷體" w:cs="新細明體" w:hint="eastAsia"/>
          <w:b/>
          <w:color w:val="000000"/>
          <w:kern w:val="0"/>
          <w:sz w:val="32"/>
          <w:szCs w:val="24"/>
        </w:rPr>
        <w:t>附件二：甄選辦法</w:t>
      </w:r>
    </w:p>
    <w:p w:rsidR="005B5C48" w:rsidRPr="00AF3E8C" w:rsidRDefault="005B5C48" w:rsidP="00892926">
      <w:pPr>
        <w:pStyle w:val="ListParagraph"/>
        <w:numPr>
          <w:ilvl w:val="0"/>
          <w:numId w:val="16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甄選方式：</w:t>
      </w:r>
    </w:p>
    <w:p w:rsidR="005B5C48" w:rsidRPr="00AF3E8C" w:rsidRDefault="005B5C48" w:rsidP="00892926">
      <w:pPr>
        <w:pStyle w:val="ListParagraph"/>
        <w:ind w:leftChars="150" w:left="900" w:hangingChars="225" w:hanging="54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一、有意參與</w:t>
      </w:r>
      <w:r w:rsidRPr="00E20404">
        <w:rPr>
          <w:rFonts w:ascii="標楷體" w:eastAsia="標楷體" w:hAnsi="標楷體" w:cs="新細明體" w:hint="eastAsia"/>
          <w:color w:val="000000"/>
          <w:kern w:val="0"/>
          <w:szCs w:val="24"/>
        </w:rPr>
        <w:t>營運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之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廠商研提</w:t>
      </w:r>
      <w:r w:rsidRPr="00E20404">
        <w:rPr>
          <w:rFonts w:ascii="標楷體" w:eastAsia="標楷體" w:hAnsi="標楷體" w:cs="新細明體" w:hint="eastAsia"/>
          <w:color w:val="000000"/>
          <w:kern w:val="0"/>
          <w:szCs w:val="24"/>
        </w:rPr>
        <w:t>西螺果菜市場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電動蔬果運輸車</w:t>
      </w:r>
      <w:r w:rsidRPr="00E20404">
        <w:rPr>
          <w:rFonts w:ascii="標楷體" w:eastAsia="標楷體" w:hAnsi="標楷體" w:cs="新細明體" w:hint="eastAsia"/>
          <w:color w:val="000000"/>
          <w:kern w:val="0"/>
          <w:szCs w:val="24"/>
        </w:rPr>
        <w:t>營運計畫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與補助需要，與必要文件一齊在限期內繳交。</w:t>
      </w:r>
    </w:p>
    <w:p w:rsidR="005B5C48" w:rsidRPr="00AF3E8C" w:rsidRDefault="005B5C48" w:rsidP="00892926">
      <w:pPr>
        <w:pStyle w:val="ListParagraph"/>
        <w:ind w:leftChars="150" w:left="900" w:hangingChars="225" w:hanging="54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二、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本署安排廠商簡報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分，由委員提問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分，委員依下列審查項目核定分數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，會後各委員分別依參加甄選之廠商得分排定名次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5B5C48" w:rsidRDefault="005B5C48" w:rsidP="00892926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（一）統計名次，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由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名次最優者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優先與環保署進行補助協商，如無法達成協議，由次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者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者依次遞補。</w:t>
      </w:r>
    </w:p>
    <w:p w:rsidR="005B5C48" w:rsidRDefault="005B5C48" w:rsidP="00892926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（二）以上如遇名次並列，則以</w:t>
      </w:r>
      <w:r w:rsidRPr="00FB03F2">
        <w:rPr>
          <w:rFonts w:ascii="標楷體" w:eastAsia="標楷體" w:hAnsi="標楷體" w:cs="新細明體" w:hint="eastAsia"/>
          <w:color w:val="000000"/>
          <w:kern w:val="0"/>
          <w:szCs w:val="24"/>
        </w:rPr>
        <w:t>得分最高者優先與環保署進行補助協商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5B5C48" w:rsidRDefault="005B5C48" w:rsidP="00892926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5B5C48" w:rsidRPr="00AF3E8C" w:rsidRDefault="005B5C48" w:rsidP="00EF45EB">
      <w:pPr>
        <w:pStyle w:val="ListParagraph"/>
        <w:numPr>
          <w:ilvl w:val="0"/>
          <w:numId w:val="16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營運方案審查包括以下內容：</w:t>
      </w:r>
    </w:p>
    <w:p w:rsidR="005B5C48" w:rsidRDefault="005B5C48" w:rsidP="00EF45EB">
      <w:pPr>
        <w:pStyle w:val="ListParagraph"/>
        <w:ind w:leftChars="150" w:left="900" w:hangingChars="225" w:hanging="54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一、營運商資格審查</w:t>
      </w:r>
    </w:p>
    <w:p w:rsidR="005B5C48" w:rsidRPr="00892926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（一）</w:t>
      </w:r>
      <w:r w:rsidRPr="00892926">
        <w:rPr>
          <w:rFonts w:ascii="標楷體" w:eastAsia="標楷體" w:hAnsi="標楷體" w:hint="eastAsia"/>
          <w:kern w:val="0"/>
        </w:rPr>
        <w:t>營運團隊專業及實績：說明營運團隊的專業能力以及實績展現。</w:t>
      </w:r>
    </w:p>
    <w:p w:rsidR="005B5C48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（二）</w:t>
      </w:r>
      <w:r w:rsidRPr="00892926">
        <w:rPr>
          <w:rFonts w:ascii="標楷體" w:eastAsia="標楷體" w:hAnsi="標楷體" w:hint="eastAsia"/>
          <w:kern w:val="0"/>
        </w:rPr>
        <w:t>營運團隊的財務：說明營運團隊的財務狀況。</w:t>
      </w:r>
    </w:p>
    <w:p w:rsidR="005B5C48" w:rsidRPr="00892926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/>
          <w:kern w:val="0"/>
        </w:rPr>
      </w:pPr>
    </w:p>
    <w:p w:rsidR="005B5C48" w:rsidRPr="00AF3E8C" w:rsidRDefault="005B5C48" w:rsidP="00EF45EB">
      <w:pPr>
        <w:pStyle w:val="ListParagraph"/>
        <w:ind w:leftChars="150" w:left="900" w:hangingChars="225" w:hanging="54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二、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營運方案（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business model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九項要點，如下圖所示──佔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60%</w:t>
      </w:r>
    </w:p>
    <w:p w:rsidR="005B5C48" w:rsidRDefault="005B5C48" w:rsidP="00D827DB">
      <w:pPr>
        <w:ind w:firstLineChars="236" w:firstLine="566"/>
        <w:rPr>
          <w:rFonts w:ascii="新細明體" w:cs="新細明體"/>
          <w:color w:val="000000"/>
          <w:kern w:val="0"/>
          <w:szCs w:val="24"/>
        </w:rPr>
      </w:pPr>
      <w:r w:rsidRPr="00910FC1">
        <w:rPr>
          <w:rFonts w:ascii="新細明體" w:cs="新細明體"/>
          <w:noProof/>
          <w:color w:val="000000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383.4pt;height:201.6pt;visibility:visible">
            <v:imagedata r:id="rId7" o:title=""/>
          </v:shape>
        </w:pict>
      </w:r>
    </w:p>
    <w:p w:rsidR="005B5C48" w:rsidRPr="00892926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（一）</w:t>
      </w:r>
      <w:r w:rsidRPr="00892926">
        <w:rPr>
          <w:rFonts w:ascii="標楷體" w:eastAsia="標楷體" w:hAnsi="標楷體" w:hint="eastAsia"/>
          <w:kern w:val="0"/>
        </w:rPr>
        <w:t>目標客群</w:t>
      </w:r>
      <w:r w:rsidRPr="00892926">
        <w:rPr>
          <w:rFonts w:ascii="標楷體" w:eastAsia="標楷體" w:hAnsi="標楷體"/>
          <w:kern w:val="0"/>
        </w:rPr>
        <w:t>(Customer Segments)</w:t>
      </w:r>
      <w:r w:rsidRPr="00892926">
        <w:rPr>
          <w:rFonts w:ascii="標楷體" w:eastAsia="標楷體" w:hAnsi="標楷體" w:hint="eastAsia"/>
          <w:kern w:val="0"/>
        </w:rPr>
        <w:t>：說明目標客戶是誰？可根據消費者共同需要、共同行為、共同特質將客戶市場區隔為不同的市場</w:t>
      </w:r>
      <w:r w:rsidRPr="00892926">
        <w:rPr>
          <w:rFonts w:ascii="標楷體" w:eastAsia="標楷體" w:hAnsi="標楷體"/>
          <w:kern w:val="0"/>
        </w:rPr>
        <w:t xml:space="preserve"> / </w:t>
      </w:r>
      <w:r w:rsidRPr="00892926">
        <w:rPr>
          <w:rFonts w:ascii="標楷體" w:eastAsia="標楷體" w:hAnsi="標楷體" w:hint="eastAsia"/>
          <w:kern w:val="0"/>
        </w:rPr>
        <w:t>客戶的區塊，選擇一個或多個目標客群。</w:t>
      </w:r>
    </w:p>
    <w:p w:rsidR="005B5C48" w:rsidRPr="00AF3E8C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（二）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價值主張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(Value Propositions)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說明服務能為客戶產生什麼價值？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提供客戶何種價值？</w:t>
      </w:r>
      <w:r w:rsidRPr="001A6E02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幫助客戶解決什麼問題？</w:t>
      </w:r>
      <w:r w:rsidRPr="001A6E02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要滿足客戶什麼需要？</w:t>
      </w:r>
      <w:r w:rsidRPr="001A6E02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要提供客戶什麼產品</w:t>
      </w:r>
      <w:r w:rsidRPr="001A6E02">
        <w:rPr>
          <w:rFonts w:ascii="標楷體" w:eastAsia="標楷體" w:hAnsi="標楷體" w:cs="新細明體"/>
          <w:color w:val="000000"/>
          <w:kern w:val="0"/>
          <w:szCs w:val="24"/>
        </w:rPr>
        <w:t xml:space="preserve"> / 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服務或組合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？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（價格、服務速度）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5B5C48" w:rsidRPr="00AF3E8C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（三）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通路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(Channel)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說明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透過那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些管道或方法去接觸使用者？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直接通路（直銷</w:t>
      </w:r>
      <w:r w:rsidRPr="001A6E02">
        <w:rPr>
          <w:rFonts w:ascii="標楷體" w:eastAsia="標楷體" w:hAnsi="標楷體" w:cs="新細明體"/>
          <w:color w:val="000000"/>
          <w:kern w:val="0"/>
          <w:szCs w:val="24"/>
        </w:rPr>
        <w:t xml:space="preserve"> / 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網路銷售）與間接通路（店頭銷售</w:t>
      </w:r>
      <w:r w:rsidRPr="001A6E02">
        <w:rPr>
          <w:rFonts w:ascii="標楷體" w:eastAsia="標楷體" w:hAnsi="標楷體" w:cs="新細明體"/>
          <w:color w:val="000000"/>
          <w:kern w:val="0"/>
          <w:szCs w:val="24"/>
        </w:rPr>
        <w:t xml:space="preserve"> / 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批發零售通路）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5B5C48" w:rsidRPr="00432047" w:rsidRDefault="005B5C48" w:rsidP="00892926">
      <w:pPr>
        <w:pStyle w:val="ListParagraph"/>
        <w:ind w:leftChars="225" w:left="1260" w:hangingChars="300" w:hanging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（四）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顧客關係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(Customer Relationship)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說明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使用者之間要建立何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種關係？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希望與目標客群建立的關係型態，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如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專人服務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自助式服務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自動化服務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社群關係顧客關係會影響到客戶整體的購買體驗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如何提供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電源補充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？如何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救援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與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維護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？如何進行客戶關懷？</w:t>
      </w:r>
      <w:r w:rsidRPr="00432047">
        <w:rPr>
          <w:rFonts w:ascii="標楷體" w:eastAsia="標楷體" w:hAnsi="標楷體" w:cs="新細明體" w:hint="eastAsia"/>
          <w:kern w:val="0"/>
          <w:szCs w:val="24"/>
        </w:rPr>
        <w:t>營運商應根據以上之服務設計，完成定型化服務契約</w:t>
      </w:r>
      <w:r w:rsidRPr="00432047">
        <w:rPr>
          <w:rFonts w:ascii="標楷體" w:eastAsia="標楷體" w:hAnsi="標楷體" w:cs="新細明體"/>
          <w:kern w:val="0"/>
          <w:szCs w:val="24"/>
        </w:rPr>
        <w:t>(</w:t>
      </w:r>
      <w:r w:rsidRPr="00432047">
        <w:rPr>
          <w:rFonts w:ascii="標楷體" w:eastAsia="標楷體" w:hAnsi="標楷體" w:cs="新細明體" w:hint="eastAsia"/>
          <w:kern w:val="0"/>
          <w:szCs w:val="24"/>
        </w:rPr>
        <w:t>於計畫書中揭示</w:t>
      </w:r>
      <w:r w:rsidRPr="00432047">
        <w:rPr>
          <w:rFonts w:ascii="標楷體" w:eastAsia="標楷體" w:hAnsi="標楷體" w:cs="新細明體"/>
          <w:kern w:val="0"/>
          <w:szCs w:val="24"/>
        </w:rPr>
        <w:t xml:space="preserve">) </w:t>
      </w:r>
      <w:r w:rsidRPr="00432047">
        <w:rPr>
          <w:rFonts w:ascii="標楷體" w:eastAsia="標楷體" w:hAnsi="標楷體" w:cs="新細明體" w:hint="eastAsia"/>
          <w:kern w:val="0"/>
          <w:szCs w:val="24"/>
        </w:rPr>
        <w:t>，供委員同步審查，內容包括：</w:t>
      </w:r>
    </w:p>
    <w:p w:rsidR="005B5C48" w:rsidRPr="00432047" w:rsidRDefault="005B5C48" w:rsidP="00EF45EB">
      <w:pPr>
        <w:pStyle w:val="ListParagraph"/>
        <w:numPr>
          <w:ilvl w:val="3"/>
          <w:numId w:val="12"/>
        </w:numPr>
        <w:ind w:leftChars="0" w:left="1418" w:hanging="284"/>
        <w:rPr>
          <w:rFonts w:ascii="標楷體" w:eastAsia="標楷體" w:hAnsi="標楷體" w:cs="新細明體"/>
          <w:kern w:val="0"/>
          <w:szCs w:val="24"/>
        </w:rPr>
      </w:pPr>
      <w:r w:rsidRPr="00432047">
        <w:rPr>
          <w:rFonts w:ascii="標楷體" w:eastAsia="標楷體" w:hAnsi="標楷體" w:cs="新細明體" w:hint="eastAsia"/>
          <w:kern w:val="0"/>
          <w:szCs w:val="24"/>
        </w:rPr>
        <w:t>維護年限</w:t>
      </w:r>
    </w:p>
    <w:p w:rsidR="005B5C48" w:rsidRPr="00432047" w:rsidRDefault="005B5C48" w:rsidP="00EF45EB">
      <w:pPr>
        <w:pStyle w:val="ListParagraph"/>
        <w:numPr>
          <w:ilvl w:val="3"/>
          <w:numId w:val="12"/>
        </w:numPr>
        <w:ind w:leftChars="0" w:left="1418" w:hanging="284"/>
        <w:rPr>
          <w:rFonts w:ascii="標楷體" w:eastAsia="標楷體" w:hAnsi="標楷體" w:cs="新細明體"/>
          <w:kern w:val="0"/>
          <w:szCs w:val="24"/>
        </w:rPr>
      </w:pPr>
      <w:r w:rsidRPr="00432047">
        <w:rPr>
          <w:rFonts w:ascii="標楷體" w:eastAsia="標楷體" w:hAnsi="標楷體" w:cs="新細明體" w:hint="eastAsia"/>
          <w:kern w:val="0"/>
          <w:szCs w:val="24"/>
        </w:rPr>
        <w:t>收費項目與費用</w:t>
      </w:r>
    </w:p>
    <w:p w:rsidR="005B5C48" w:rsidRPr="00432047" w:rsidRDefault="005B5C48" w:rsidP="00EF45EB">
      <w:pPr>
        <w:pStyle w:val="ListParagraph"/>
        <w:numPr>
          <w:ilvl w:val="3"/>
          <w:numId w:val="12"/>
        </w:numPr>
        <w:ind w:leftChars="0" w:left="1418" w:hanging="284"/>
        <w:rPr>
          <w:rFonts w:ascii="標楷體" w:eastAsia="標楷體" w:hAnsi="標楷體" w:cs="新細明體"/>
          <w:kern w:val="0"/>
          <w:szCs w:val="24"/>
        </w:rPr>
      </w:pPr>
      <w:r w:rsidRPr="00432047">
        <w:rPr>
          <w:rFonts w:ascii="標楷體" w:eastAsia="標楷體" w:hAnsi="標楷體" w:cs="新細明體" w:hint="eastAsia"/>
          <w:kern w:val="0"/>
          <w:szCs w:val="24"/>
        </w:rPr>
        <w:t>免費項目</w:t>
      </w:r>
    </w:p>
    <w:p w:rsidR="005B5C48" w:rsidRPr="00432047" w:rsidRDefault="005B5C48" w:rsidP="00EF45EB">
      <w:pPr>
        <w:pStyle w:val="ListParagraph"/>
        <w:numPr>
          <w:ilvl w:val="3"/>
          <w:numId w:val="12"/>
        </w:numPr>
        <w:ind w:leftChars="0" w:left="1418" w:hanging="284"/>
        <w:rPr>
          <w:rFonts w:ascii="標楷體" w:eastAsia="標楷體" w:hAnsi="標楷體" w:cs="新細明體"/>
          <w:kern w:val="0"/>
          <w:szCs w:val="24"/>
        </w:rPr>
      </w:pPr>
      <w:r w:rsidRPr="00432047">
        <w:rPr>
          <w:rFonts w:ascii="標楷體" w:eastAsia="標楷體" w:hAnsi="標楷體" w:cs="新細明體" w:hint="eastAsia"/>
          <w:kern w:val="0"/>
          <w:szCs w:val="24"/>
        </w:rPr>
        <w:t>其他</w:t>
      </w:r>
    </w:p>
    <w:p w:rsidR="005B5C48" w:rsidRPr="00AF3E8C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（五）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營收來源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(Revenue stream)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說明收費方式為何？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如車輛銷售、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服務費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（充電或救援）、電池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金、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仲介費</w:t>
      </w:r>
      <w:r w:rsidRPr="001A6E02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1A6E02">
        <w:rPr>
          <w:rFonts w:ascii="標楷體" w:eastAsia="標楷體" w:hAnsi="標楷體" w:cs="新細明體" w:hint="eastAsia"/>
          <w:color w:val="000000"/>
          <w:kern w:val="0"/>
          <w:szCs w:val="24"/>
        </w:rPr>
        <w:t>廣告費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等。</w:t>
      </w:r>
    </w:p>
    <w:p w:rsidR="005B5C48" w:rsidRPr="00AF3E8C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（六）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關鍵資源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(Key resources)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說明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要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達成以上目標，營運團隊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掌握那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些關鍵資源？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如實體資源</w:t>
      </w:r>
      <w:r w:rsidRPr="00B22C08">
        <w:rPr>
          <w:rFonts w:ascii="標楷體" w:eastAsia="標楷體" w:hAnsi="標楷體" w:cs="新細明體" w:hint="eastAsia"/>
          <w:color w:val="000000"/>
          <w:kern w:val="0"/>
          <w:szCs w:val="24"/>
        </w:rPr>
        <w:t>（生產設備、建築、系統、配銷通路）、智慧資產（品牌、專業</w:t>
      </w:r>
      <w:r w:rsidRPr="00B22C08">
        <w:rPr>
          <w:rFonts w:ascii="標楷體" w:eastAsia="標楷體" w:hAnsi="標楷體" w:cs="新細明體"/>
          <w:color w:val="000000"/>
          <w:kern w:val="0"/>
          <w:szCs w:val="24"/>
        </w:rPr>
        <w:t xml:space="preserve"> know-how </w:t>
      </w:r>
      <w:r w:rsidRPr="00B22C08">
        <w:rPr>
          <w:rFonts w:ascii="標楷體" w:eastAsia="標楷體" w:hAnsi="標楷體" w:cs="新細明體" w:hint="eastAsia"/>
          <w:color w:val="000000"/>
          <w:kern w:val="0"/>
          <w:szCs w:val="24"/>
        </w:rPr>
        <w:t>、專利、著作權、夥伴關係、客戶資料）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B22C08">
        <w:rPr>
          <w:rFonts w:ascii="標楷體" w:eastAsia="標楷體" w:hAnsi="標楷體" w:cs="新細明體" w:hint="eastAsia"/>
          <w:color w:val="000000"/>
          <w:kern w:val="0"/>
          <w:szCs w:val="24"/>
        </w:rPr>
        <w:t>人力資源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、財務資</w:t>
      </w:r>
      <w:r w:rsidRPr="00B22C08">
        <w:rPr>
          <w:rFonts w:ascii="標楷體" w:eastAsia="標楷體" w:hAnsi="標楷體" w:cs="新細明體" w:hint="eastAsia"/>
          <w:color w:val="000000"/>
          <w:kern w:val="0"/>
          <w:szCs w:val="24"/>
        </w:rPr>
        <w:t>（現金、資產、銀行信用）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等。</w:t>
      </w:r>
    </w:p>
    <w:p w:rsidR="005B5C48" w:rsidRPr="00AF3E8C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（七）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關鍵活動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(Key activity)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說明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要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達成以上目標，營運團隊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要做的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關鍵工作是什麼？</w:t>
      </w:r>
      <w:r w:rsidRPr="00B22C08">
        <w:rPr>
          <w:rFonts w:ascii="標楷體" w:eastAsia="標楷體" w:hAnsi="標楷體" w:cs="新細明體" w:hint="eastAsia"/>
          <w:color w:val="000000"/>
          <w:kern w:val="0"/>
          <w:szCs w:val="24"/>
        </w:rPr>
        <w:t>車輛研發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生產、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推廣行銷通路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、充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電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、電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池交換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維護、救援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用戶訓練關懷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電池組生產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管理維護回收等。</w:t>
      </w:r>
    </w:p>
    <w:p w:rsidR="005B5C48" w:rsidRPr="00432047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（八）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關鍵夥伴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(Key partners)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明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要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達成以上目標，營運團隊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有那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些關鍵夥伴？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有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策略聯盟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競合關係夥伴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共同投資夥伴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採購與供應夥伴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等關係形式。</w:t>
      </w:r>
      <w:r w:rsidRPr="00432047">
        <w:rPr>
          <w:rFonts w:ascii="標楷體" w:eastAsia="標楷體" w:hAnsi="標楷體" w:cs="新細明體" w:hint="eastAsia"/>
          <w:kern w:val="0"/>
          <w:szCs w:val="24"/>
        </w:rPr>
        <w:t>為讓未結盟的電動車生產或改裝業者，能有機會成為電動車生產之關鍵夥伴，須規畫參與合作之方案</w:t>
      </w:r>
      <w:r w:rsidRPr="00432047">
        <w:rPr>
          <w:rFonts w:ascii="標楷體" w:eastAsia="標楷體" w:hAnsi="標楷體" w:cs="新細明體"/>
          <w:kern w:val="0"/>
          <w:szCs w:val="24"/>
        </w:rPr>
        <w:t>(</w:t>
      </w:r>
      <w:r w:rsidRPr="00432047">
        <w:rPr>
          <w:rFonts w:ascii="標楷體" w:eastAsia="標楷體" w:hAnsi="標楷體" w:cs="新細明體" w:hint="eastAsia"/>
          <w:kern w:val="0"/>
          <w:szCs w:val="24"/>
        </w:rPr>
        <w:t>於計畫書中揭示</w:t>
      </w:r>
      <w:r w:rsidRPr="00432047">
        <w:rPr>
          <w:rFonts w:ascii="標楷體" w:eastAsia="標楷體" w:hAnsi="標楷體" w:cs="新細明體"/>
          <w:kern w:val="0"/>
          <w:szCs w:val="24"/>
        </w:rPr>
        <w:t>)</w:t>
      </w:r>
      <w:r w:rsidRPr="00432047">
        <w:rPr>
          <w:rFonts w:ascii="標楷體" w:eastAsia="標楷體" w:hAnsi="標楷體" w:cs="新細明體" w:hint="eastAsia"/>
          <w:kern w:val="0"/>
          <w:szCs w:val="24"/>
        </w:rPr>
        <w:t>，內容包括：</w:t>
      </w:r>
    </w:p>
    <w:p w:rsidR="005B5C48" w:rsidRPr="00432047" w:rsidRDefault="005B5C48" w:rsidP="0067671A">
      <w:pPr>
        <w:pStyle w:val="ListParagraph"/>
        <w:numPr>
          <w:ilvl w:val="3"/>
          <w:numId w:val="12"/>
        </w:numPr>
        <w:ind w:leftChars="0" w:left="1418" w:hanging="284"/>
        <w:rPr>
          <w:rFonts w:ascii="標楷體" w:eastAsia="標楷體" w:hAnsi="標楷體" w:cs="新細明體"/>
          <w:kern w:val="0"/>
          <w:szCs w:val="24"/>
        </w:rPr>
      </w:pPr>
      <w:r w:rsidRPr="00432047">
        <w:rPr>
          <w:rFonts w:ascii="標楷體" w:eastAsia="標楷體" w:hAnsi="標楷體" w:cs="新細明體" w:hint="eastAsia"/>
          <w:kern w:val="0"/>
          <w:szCs w:val="24"/>
        </w:rPr>
        <w:t>合作合約書樣本－規晝雙方合作權利與義務，包括：售車佣金、維修責任與費用、糾紛仲裁與處理等，未來符合規範之電動車生產廠商得依此合約條件加入電動車生產，營運商不得以任何理由拒絕合作。</w:t>
      </w:r>
    </w:p>
    <w:p w:rsidR="005B5C48" w:rsidRPr="00432047" w:rsidRDefault="005B5C48" w:rsidP="0067671A">
      <w:pPr>
        <w:pStyle w:val="ListParagraph"/>
        <w:numPr>
          <w:ilvl w:val="3"/>
          <w:numId w:val="12"/>
        </w:numPr>
        <w:ind w:leftChars="0" w:left="1418" w:hanging="284"/>
        <w:rPr>
          <w:rFonts w:ascii="標楷體" w:eastAsia="標楷體" w:hAnsi="標楷體" w:cs="新細明體"/>
          <w:kern w:val="0"/>
          <w:szCs w:val="24"/>
        </w:rPr>
      </w:pPr>
      <w:r w:rsidRPr="00432047">
        <w:rPr>
          <w:rFonts w:ascii="標楷體" w:eastAsia="標楷體" w:hAnsi="標楷體" w:cs="新細明體" w:hint="eastAsia"/>
          <w:kern w:val="0"/>
          <w:szCs w:val="24"/>
        </w:rPr>
        <w:t>糾紛仲裁規畫－規畫如何由公正第三方人員組成糾紛仲裁團體，處理合作相關糾紛。</w:t>
      </w:r>
    </w:p>
    <w:p w:rsidR="005B5C48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（九）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成本結構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(Cost structure)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說明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商業模式的成本架構為何？</w:t>
      </w:r>
      <w:r w:rsidRPr="00514588">
        <w:rPr>
          <w:rFonts w:ascii="標楷體" w:eastAsia="標楷體" w:hAnsi="標楷體" w:cs="新細明體" w:hint="eastAsia"/>
          <w:color w:val="000000"/>
          <w:kern w:val="0"/>
          <w:szCs w:val="24"/>
        </w:rPr>
        <w:t>從商業模式運作所需之資源、活動、夥伴可推算出所需成本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（含政府補助部份）。</w:t>
      </w:r>
      <w:r w:rsidRPr="00925E0D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</w:t>
      </w:r>
    </w:p>
    <w:p w:rsidR="005B5C48" w:rsidRPr="00925E0D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 w:rsidRPr="00925E0D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　　　</w:t>
      </w:r>
    </w:p>
    <w:p w:rsidR="005B5C48" w:rsidRPr="00AF3E8C" w:rsidRDefault="005B5C48" w:rsidP="00EF45EB">
      <w:pPr>
        <w:pStyle w:val="ListParagraph"/>
        <w:ind w:leftChars="150" w:left="900" w:hangingChars="225" w:hanging="54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三、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效益分析──佔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10%</w:t>
      </w:r>
    </w:p>
    <w:p w:rsidR="005B5C48" w:rsidRPr="00AF3E8C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（一）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環境效益：對環境之改善，如清潔、整齊、汚染等</w:t>
      </w:r>
    </w:p>
    <w:p w:rsidR="005B5C48" w:rsidRPr="00AF3E8C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（二）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社會效益：對地方工作機會、所得分配等之效益</w:t>
      </w:r>
    </w:p>
    <w:p w:rsidR="005B5C48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（三）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產業效益：對相關上下游產業助益，可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帶</w:t>
      </w:r>
      <w:bookmarkStart w:id="0" w:name="_GoBack"/>
      <w:bookmarkEnd w:id="0"/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動何種產業的成長</w:t>
      </w:r>
    </w:p>
    <w:p w:rsidR="005B5C48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5B5C48" w:rsidRPr="00AF3E8C" w:rsidRDefault="005B5C48" w:rsidP="00EF45EB">
      <w:pPr>
        <w:pStyle w:val="ListParagraph"/>
        <w:ind w:leftChars="150" w:left="900" w:hangingChars="225" w:hanging="54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四、</w:t>
      </w:r>
      <w:r w:rsidRPr="00AF3E8C">
        <w:rPr>
          <w:rFonts w:ascii="標楷體" w:eastAsia="標楷體" w:hAnsi="標楷體" w:cs="新細明體" w:hint="eastAsia"/>
          <w:color w:val="000000"/>
          <w:kern w:val="0"/>
          <w:szCs w:val="24"/>
        </w:rPr>
        <w:t>財務可行性與補助需求──佔</w:t>
      </w:r>
      <w:r w:rsidRPr="00AF3E8C">
        <w:rPr>
          <w:rFonts w:ascii="標楷體" w:eastAsia="標楷體" w:hAnsi="標楷體" w:cs="新細明體"/>
          <w:color w:val="000000"/>
          <w:kern w:val="0"/>
          <w:szCs w:val="24"/>
        </w:rPr>
        <w:t>30%</w:t>
      </w:r>
    </w:p>
    <w:p w:rsidR="005B5C48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（一）</w:t>
      </w:r>
      <w:r w:rsidRPr="000F7D63">
        <w:rPr>
          <w:rFonts w:ascii="標楷體" w:eastAsia="標楷體" w:hAnsi="標楷體" w:cs="新細明體" w:hint="eastAsia"/>
          <w:color w:val="000000"/>
          <w:kern w:val="0"/>
          <w:szCs w:val="24"/>
        </w:rPr>
        <w:t>財務可行性（佔</w:t>
      </w:r>
      <w:r w:rsidRPr="000F7D63">
        <w:rPr>
          <w:rFonts w:ascii="標楷體" w:eastAsia="標楷體" w:hAnsi="標楷體" w:cs="新細明體"/>
          <w:color w:val="000000"/>
          <w:kern w:val="0"/>
          <w:szCs w:val="24"/>
        </w:rPr>
        <w:t>10%</w:t>
      </w:r>
      <w:r w:rsidRPr="000F7D63"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：根據財務</w:t>
      </w:r>
      <w:r w:rsidRPr="000F7D63">
        <w:rPr>
          <w:rFonts w:ascii="標楷體" w:eastAsia="標楷體" w:hAnsi="標楷體" w:cs="新細明體" w:hint="eastAsia"/>
          <w:color w:val="000000"/>
          <w:kern w:val="0"/>
          <w:szCs w:val="24"/>
        </w:rPr>
        <w:t>可行性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，由</w:t>
      </w:r>
      <w:r w:rsidRPr="000F7D63">
        <w:rPr>
          <w:rFonts w:ascii="標楷體" w:eastAsia="標楷體" w:hAnsi="標楷體" w:cs="新細明體" w:hint="eastAsia"/>
          <w:color w:val="000000"/>
          <w:kern w:val="0"/>
          <w:szCs w:val="24"/>
        </w:rPr>
        <w:t>委員來評分</w:t>
      </w:r>
    </w:p>
    <w:p w:rsidR="005B5C48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（二）</w:t>
      </w:r>
      <w:r w:rsidRPr="00925E0D">
        <w:rPr>
          <w:rFonts w:ascii="標楷體" w:eastAsia="標楷體" w:hAnsi="標楷體" w:cs="新細明體" w:hint="eastAsia"/>
          <w:color w:val="000000"/>
          <w:kern w:val="0"/>
          <w:szCs w:val="24"/>
        </w:rPr>
        <w:t>補助營運商（佔</w:t>
      </w:r>
      <w:r w:rsidRPr="00925E0D">
        <w:rPr>
          <w:rFonts w:ascii="標楷體" w:eastAsia="標楷體" w:hAnsi="標楷體" w:cs="新細明體"/>
          <w:color w:val="000000"/>
          <w:kern w:val="0"/>
          <w:szCs w:val="24"/>
        </w:rPr>
        <w:t>10%</w:t>
      </w:r>
      <w:r w:rsidRPr="00925E0D">
        <w:rPr>
          <w:rFonts w:ascii="標楷體" w:eastAsia="標楷體" w:hAnsi="標楷體" w:cs="新細明體" w:hint="eastAsia"/>
          <w:color w:val="000000"/>
          <w:kern w:val="0"/>
          <w:szCs w:val="24"/>
        </w:rPr>
        <w:t>）：根據營運設施投入總經費與政府補助，採取政府補助加權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計算</w:t>
      </w:r>
      <w:r w:rsidRPr="00925E0D">
        <w:rPr>
          <w:rFonts w:ascii="標楷體" w:eastAsia="標楷體" w:hAnsi="標楷體" w:cs="新細明體" w:hint="eastAsia"/>
          <w:color w:val="000000"/>
          <w:kern w:val="0"/>
          <w:szCs w:val="24"/>
        </w:rPr>
        <w:t>，由委員來評分</w:t>
      </w:r>
    </w:p>
    <w:p w:rsidR="005B5C48" w:rsidRPr="00925E0D" w:rsidRDefault="005B5C48" w:rsidP="00EF45EB">
      <w:pPr>
        <w:pStyle w:val="ListParagraph"/>
        <w:ind w:leftChars="225" w:left="1260" w:hangingChars="300" w:hanging="72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（三）</w:t>
      </w:r>
      <w:r w:rsidRPr="00925E0D">
        <w:rPr>
          <w:rFonts w:ascii="標楷體" w:eastAsia="標楷體" w:hAnsi="標楷體" w:cs="新細明體" w:hint="eastAsia"/>
          <w:color w:val="000000"/>
          <w:kern w:val="0"/>
          <w:szCs w:val="24"/>
        </w:rPr>
        <w:t>補助電動車使用者（佔</w:t>
      </w:r>
      <w:r w:rsidRPr="00925E0D">
        <w:rPr>
          <w:rFonts w:ascii="標楷體" w:eastAsia="標楷體" w:hAnsi="標楷體" w:cs="新細明體"/>
          <w:color w:val="000000"/>
          <w:kern w:val="0"/>
          <w:szCs w:val="24"/>
        </w:rPr>
        <w:t>10%</w:t>
      </w:r>
      <w:r w:rsidRPr="00925E0D">
        <w:rPr>
          <w:rFonts w:ascii="標楷體" w:eastAsia="標楷體" w:hAnsi="標楷體" w:cs="新細明體" w:hint="eastAsia"/>
          <w:color w:val="000000"/>
          <w:kern w:val="0"/>
          <w:szCs w:val="24"/>
        </w:rPr>
        <w:t>）：</w:t>
      </w:r>
    </w:p>
    <w:p w:rsidR="005B5C48" w:rsidRPr="000F7D63" w:rsidRDefault="005B5C48" w:rsidP="00EF45EB">
      <w:pPr>
        <w:pStyle w:val="ListParagraph"/>
        <w:numPr>
          <w:ilvl w:val="3"/>
          <w:numId w:val="12"/>
        </w:numPr>
        <w:ind w:leftChars="0" w:left="1418" w:hanging="28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F7D63">
        <w:rPr>
          <w:rFonts w:ascii="標楷體" w:eastAsia="標楷體" w:hAnsi="標楷體" w:cs="新細明體" w:hint="eastAsia"/>
          <w:color w:val="000000"/>
          <w:kern w:val="0"/>
          <w:szCs w:val="24"/>
        </w:rPr>
        <w:t>電動蔬果運輸車補助：政策決定，不評比</w:t>
      </w:r>
      <w:r w:rsidRPr="000F7D63">
        <w:rPr>
          <w:rFonts w:ascii="標楷體" w:eastAsia="標楷體" w:hAnsi="標楷體" w:cs="新細明體"/>
          <w:color w:val="000000"/>
          <w:kern w:val="0"/>
          <w:szCs w:val="24"/>
        </w:rPr>
        <w:tab/>
      </w:r>
    </w:p>
    <w:p w:rsidR="005B5C48" w:rsidRPr="000F7D63" w:rsidRDefault="005B5C48" w:rsidP="00EF45EB">
      <w:pPr>
        <w:pStyle w:val="ListParagraph"/>
        <w:numPr>
          <w:ilvl w:val="3"/>
          <w:numId w:val="12"/>
        </w:numPr>
        <w:ind w:leftChars="0" w:left="1418" w:hanging="28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F7D63">
        <w:rPr>
          <w:rFonts w:ascii="標楷體" w:eastAsia="標楷體" w:hAnsi="標楷體" w:cs="新細明體" w:hint="eastAsia"/>
          <w:color w:val="000000"/>
          <w:kern w:val="0"/>
          <w:szCs w:val="24"/>
        </w:rPr>
        <w:t>電池租金：採取政府補助加權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計算</w:t>
      </w:r>
      <w:r w:rsidRPr="000F7D63">
        <w:rPr>
          <w:rFonts w:ascii="標楷體" w:eastAsia="標楷體" w:hAnsi="標楷體" w:cs="新細明體" w:hint="eastAsia"/>
          <w:color w:val="000000"/>
          <w:kern w:val="0"/>
          <w:szCs w:val="24"/>
        </w:rPr>
        <w:t>，由委員來評分</w:t>
      </w:r>
    </w:p>
    <w:p w:rsidR="005B5C48" w:rsidRDefault="005B5C48" w:rsidP="000F7D63">
      <w:pPr>
        <w:ind w:left="851" w:hanging="283"/>
      </w:pPr>
    </w:p>
    <w:p w:rsidR="005B5C48" w:rsidRPr="00052DDB" w:rsidRDefault="005B5C48" w:rsidP="00052DDB">
      <w:pPr>
        <w:ind w:leftChars="237" w:left="852" w:hanging="283"/>
        <w:rPr>
          <w:rFonts w:ascii="標楷體" w:eastAsia="標楷體" w:hAnsi="標楷體"/>
          <w:color w:val="FF0000"/>
        </w:rPr>
      </w:pPr>
    </w:p>
    <w:sectPr w:rsidR="005B5C48" w:rsidRPr="00052DDB" w:rsidSect="00D179B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C48" w:rsidRDefault="005B5C48" w:rsidP="00407765">
      <w:r>
        <w:separator/>
      </w:r>
    </w:p>
  </w:endnote>
  <w:endnote w:type="continuationSeparator" w:id="0">
    <w:p w:rsidR="005B5C48" w:rsidRDefault="005B5C48" w:rsidP="00407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48" w:rsidRDefault="005B5C48" w:rsidP="003F3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5C48" w:rsidRDefault="005B5C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48" w:rsidRDefault="005B5C48" w:rsidP="003F3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B5C48" w:rsidRDefault="005B5C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C48" w:rsidRDefault="005B5C48" w:rsidP="00407765">
      <w:r>
        <w:separator/>
      </w:r>
    </w:p>
  </w:footnote>
  <w:footnote w:type="continuationSeparator" w:id="0">
    <w:p w:rsidR="005B5C48" w:rsidRDefault="005B5C48" w:rsidP="00407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D93"/>
    <w:multiLevelType w:val="hybridMultilevel"/>
    <w:tmpl w:val="BDB6773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7613A54"/>
    <w:multiLevelType w:val="multilevel"/>
    <w:tmpl w:val="7E028828"/>
    <w:lvl w:ilvl="0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10D20652"/>
    <w:multiLevelType w:val="hybridMultilevel"/>
    <w:tmpl w:val="75800E32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>
    <w:nsid w:val="13461D94"/>
    <w:multiLevelType w:val="multilevel"/>
    <w:tmpl w:val="7E028828"/>
    <w:lvl w:ilvl="0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>
    <w:nsid w:val="17D50777"/>
    <w:multiLevelType w:val="hybridMultilevel"/>
    <w:tmpl w:val="41B8BE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DDD65CD"/>
    <w:multiLevelType w:val="hybridMultilevel"/>
    <w:tmpl w:val="636E00C2"/>
    <w:lvl w:ilvl="0" w:tplc="0409000F">
      <w:start w:val="1"/>
      <w:numFmt w:val="decimal"/>
      <w:lvlText w:val="%1."/>
      <w:lvlJc w:val="left"/>
      <w:pPr>
        <w:ind w:left="1046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6">
    <w:nsid w:val="25D054AD"/>
    <w:multiLevelType w:val="hybridMultilevel"/>
    <w:tmpl w:val="4B100F0A"/>
    <w:lvl w:ilvl="0" w:tplc="04090009">
      <w:start w:val="1"/>
      <w:numFmt w:val="bullet"/>
      <w:lvlText w:val="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>
    <w:nsid w:val="27856404"/>
    <w:multiLevelType w:val="hybridMultilevel"/>
    <w:tmpl w:val="31EC702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15">
      <w:start w:val="1"/>
      <w:numFmt w:val="taiwaneseCountingThousand"/>
      <w:lvlText w:val="%2、"/>
      <w:lvlJc w:val="left"/>
      <w:pPr>
        <w:ind w:left="906" w:hanging="48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6A10C9D"/>
    <w:multiLevelType w:val="hybridMultilevel"/>
    <w:tmpl w:val="BF98A78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F275312"/>
    <w:multiLevelType w:val="hybridMultilevel"/>
    <w:tmpl w:val="D14E4882"/>
    <w:lvl w:ilvl="0" w:tplc="A9F23AEC">
      <w:start w:val="2"/>
      <w:numFmt w:val="taiwaneseCountingThousand"/>
      <w:lvlText w:val="%1、"/>
      <w:lvlJc w:val="left"/>
      <w:pPr>
        <w:tabs>
          <w:tab w:val="num" w:pos="924"/>
        </w:tabs>
        <w:ind w:left="924" w:hanging="444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58EB7E95"/>
    <w:multiLevelType w:val="hybridMultilevel"/>
    <w:tmpl w:val="C67E884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>
    <w:nsid w:val="59A26253"/>
    <w:multiLevelType w:val="hybridMultilevel"/>
    <w:tmpl w:val="9C0E5A18"/>
    <w:lvl w:ilvl="0" w:tplc="04090019">
      <w:start w:val="1"/>
      <w:numFmt w:val="ideographTraditional"/>
      <w:lvlText w:val="%1、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5AC03A62"/>
    <w:multiLevelType w:val="hybridMultilevel"/>
    <w:tmpl w:val="1D0490E0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5B7D019D"/>
    <w:multiLevelType w:val="hybridMultilevel"/>
    <w:tmpl w:val="3E42D3B2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4">
    <w:nsid w:val="611E01A9"/>
    <w:multiLevelType w:val="hybridMultilevel"/>
    <w:tmpl w:val="B308C23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62739DF"/>
    <w:multiLevelType w:val="hybridMultilevel"/>
    <w:tmpl w:val="B1549036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16">
    <w:nsid w:val="668E2336"/>
    <w:multiLevelType w:val="hybridMultilevel"/>
    <w:tmpl w:val="636E00C2"/>
    <w:lvl w:ilvl="0" w:tplc="0409000F">
      <w:start w:val="1"/>
      <w:numFmt w:val="decimal"/>
      <w:lvlText w:val="%1."/>
      <w:lvlJc w:val="left"/>
      <w:pPr>
        <w:ind w:left="1046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7">
    <w:nsid w:val="6F833557"/>
    <w:multiLevelType w:val="hybridMultilevel"/>
    <w:tmpl w:val="19F89C8A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>
    <w:nsid w:val="71C01D2F"/>
    <w:multiLevelType w:val="hybridMultilevel"/>
    <w:tmpl w:val="7E028828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9">
    <w:nsid w:val="7F1B7299"/>
    <w:multiLevelType w:val="hybridMultilevel"/>
    <w:tmpl w:val="2BBE9A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7"/>
  </w:num>
  <w:num w:numId="5">
    <w:abstractNumId w:val="14"/>
  </w:num>
  <w:num w:numId="6">
    <w:abstractNumId w:val="8"/>
  </w:num>
  <w:num w:numId="7">
    <w:abstractNumId w:val="5"/>
  </w:num>
  <w:num w:numId="8">
    <w:abstractNumId w:val="15"/>
  </w:num>
  <w:num w:numId="9">
    <w:abstractNumId w:val="11"/>
  </w:num>
  <w:num w:numId="10">
    <w:abstractNumId w:val="10"/>
  </w:num>
  <w:num w:numId="11">
    <w:abstractNumId w:val="18"/>
  </w:num>
  <w:num w:numId="12">
    <w:abstractNumId w:val="4"/>
  </w:num>
  <w:num w:numId="13">
    <w:abstractNumId w:val="13"/>
  </w:num>
  <w:num w:numId="14">
    <w:abstractNumId w:val="16"/>
  </w:num>
  <w:num w:numId="15">
    <w:abstractNumId w:val="9"/>
  </w:num>
  <w:num w:numId="16">
    <w:abstractNumId w:val="0"/>
  </w:num>
  <w:num w:numId="17">
    <w:abstractNumId w:val="3"/>
  </w:num>
  <w:num w:numId="18">
    <w:abstractNumId w:val="17"/>
  </w:num>
  <w:num w:numId="19">
    <w:abstractNumId w:val="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C76"/>
    <w:rsid w:val="00052DDB"/>
    <w:rsid w:val="0006093A"/>
    <w:rsid w:val="00074EFF"/>
    <w:rsid w:val="000979C4"/>
    <w:rsid w:val="000A6E3D"/>
    <w:rsid w:val="000E6485"/>
    <w:rsid w:val="000F7D63"/>
    <w:rsid w:val="001241CD"/>
    <w:rsid w:val="001A6E02"/>
    <w:rsid w:val="001B3B2A"/>
    <w:rsid w:val="001D777D"/>
    <w:rsid w:val="002064C5"/>
    <w:rsid w:val="0022319D"/>
    <w:rsid w:val="002448F1"/>
    <w:rsid w:val="00255B4C"/>
    <w:rsid w:val="00256217"/>
    <w:rsid w:val="002603ED"/>
    <w:rsid w:val="00286B6B"/>
    <w:rsid w:val="002D3D77"/>
    <w:rsid w:val="002D6A74"/>
    <w:rsid w:val="002F3D8F"/>
    <w:rsid w:val="00316596"/>
    <w:rsid w:val="00362E7F"/>
    <w:rsid w:val="003664BE"/>
    <w:rsid w:val="003C2526"/>
    <w:rsid w:val="003C7515"/>
    <w:rsid w:val="003F3693"/>
    <w:rsid w:val="003F4C4F"/>
    <w:rsid w:val="003F63E4"/>
    <w:rsid w:val="00407765"/>
    <w:rsid w:val="00427884"/>
    <w:rsid w:val="00432047"/>
    <w:rsid w:val="0044224C"/>
    <w:rsid w:val="00444F20"/>
    <w:rsid w:val="00476E11"/>
    <w:rsid w:val="004A5092"/>
    <w:rsid w:val="004F6AC7"/>
    <w:rsid w:val="00507A74"/>
    <w:rsid w:val="00514588"/>
    <w:rsid w:val="005825EA"/>
    <w:rsid w:val="005855CC"/>
    <w:rsid w:val="00590B7A"/>
    <w:rsid w:val="005B5C48"/>
    <w:rsid w:val="005C5EA7"/>
    <w:rsid w:val="005D3C76"/>
    <w:rsid w:val="006002E7"/>
    <w:rsid w:val="006215C2"/>
    <w:rsid w:val="00660A52"/>
    <w:rsid w:val="0067671A"/>
    <w:rsid w:val="006A7E17"/>
    <w:rsid w:val="006E2863"/>
    <w:rsid w:val="006F0D69"/>
    <w:rsid w:val="00752D91"/>
    <w:rsid w:val="00783F7F"/>
    <w:rsid w:val="007F4B87"/>
    <w:rsid w:val="008264D4"/>
    <w:rsid w:val="00892926"/>
    <w:rsid w:val="008A44BC"/>
    <w:rsid w:val="00910FC1"/>
    <w:rsid w:val="009158A7"/>
    <w:rsid w:val="009234CE"/>
    <w:rsid w:val="00925E0D"/>
    <w:rsid w:val="00933683"/>
    <w:rsid w:val="009369A9"/>
    <w:rsid w:val="009B2CCF"/>
    <w:rsid w:val="00A23E99"/>
    <w:rsid w:val="00A26CBA"/>
    <w:rsid w:val="00A96FB0"/>
    <w:rsid w:val="00AC3627"/>
    <w:rsid w:val="00AD05F9"/>
    <w:rsid w:val="00AE0E18"/>
    <w:rsid w:val="00AE4694"/>
    <w:rsid w:val="00AF3E8C"/>
    <w:rsid w:val="00B22C08"/>
    <w:rsid w:val="00B26101"/>
    <w:rsid w:val="00B26417"/>
    <w:rsid w:val="00B4362B"/>
    <w:rsid w:val="00B6112D"/>
    <w:rsid w:val="00B951D9"/>
    <w:rsid w:val="00BD37A2"/>
    <w:rsid w:val="00C12A3E"/>
    <w:rsid w:val="00C255FE"/>
    <w:rsid w:val="00C7673E"/>
    <w:rsid w:val="00CA07C0"/>
    <w:rsid w:val="00CB03C8"/>
    <w:rsid w:val="00CB094A"/>
    <w:rsid w:val="00D179B4"/>
    <w:rsid w:val="00D6756F"/>
    <w:rsid w:val="00D827DB"/>
    <w:rsid w:val="00D9526D"/>
    <w:rsid w:val="00E01B1F"/>
    <w:rsid w:val="00E20404"/>
    <w:rsid w:val="00E36ABD"/>
    <w:rsid w:val="00E50840"/>
    <w:rsid w:val="00EA0F15"/>
    <w:rsid w:val="00EA2ECF"/>
    <w:rsid w:val="00ED7883"/>
    <w:rsid w:val="00EF45EB"/>
    <w:rsid w:val="00F77289"/>
    <w:rsid w:val="00FB03F2"/>
    <w:rsid w:val="00FC217B"/>
    <w:rsid w:val="00FC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B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7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776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07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7765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16596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2F3D8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D8F"/>
    <w:rPr>
      <w:rFonts w:ascii="Cambria" w:eastAsia="新細明體" w:hAnsi="Cambria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215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252</Words>
  <Characters>1438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附件二：甄選辦法</dc:title>
  <dc:subject/>
  <dc:creator>張占佳</dc:creator>
  <cp:keywords/>
  <dc:description/>
  <cp:lastModifiedBy>schsu</cp:lastModifiedBy>
  <cp:revision>4</cp:revision>
  <cp:lastPrinted>2013-02-06T00:36:00Z</cp:lastPrinted>
  <dcterms:created xsi:type="dcterms:W3CDTF">2013-06-20T06:19:00Z</dcterms:created>
  <dcterms:modified xsi:type="dcterms:W3CDTF">2013-06-20T06:42:00Z</dcterms:modified>
</cp:coreProperties>
</file>