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EC8" w:rsidRPr="00F61440" w:rsidRDefault="00407EC8" w:rsidP="00D10F74">
      <w:pPr>
        <w:spacing w:beforeLines="50" w:after="120" w:line="500" w:lineRule="exact"/>
        <w:jc w:val="both"/>
        <w:rPr>
          <w:rFonts w:eastAsia="標楷體"/>
          <w:b/>
          <w:sz w:val="40"/>
          <w:szCs w:val="40"/>
        </w:rPr>
      </w:pPr>
      <w:r w:rsidRPr="00F61440">
        <w:rPr>
          <w:rFonts w:eastAsia="標楷體" w:hint="eastAsia"/>
          <w:b/>
          <w:sz w:val="40"/>
          <w:szCs w:val="40"/>
        </w:rPr>
        <w:t>附表　環評變更簡化相關條例對照</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959"/>
        <w:gridCol w:w="3898"/>
        <w:gridCol w:w="3898"/>
      </w:tblGrid>
      <w:tr w:rsidR="00407EC8" w:rsidRPr="00F61440" w:rsidTr="008F2B47">
        <w:tc>
          <w:tcPr>
            <w:tcW w:w="959" w:type="dxa"/>
            <w:tcBorders>
              <w:top w:val="double" w:sz="4" w:space="0" w:color="auto"/>
              <w:bottom w:val="double" w:sz="4" w:space="0" w:color="auto"/>
              <w:right w:val="double" w:sz="4" w:space="0" w:color="auto"/>
            </w:tcBorders>
            <w:vAlign w:val="center"/>
          </w:tcPr>
          <w:p w:rsidR="00407EC8" w:rsidRPr="00F61440" w:rsidRDefault="00407EC8" w:rsidP="00D10F74">
            <w:pPr>
              <w:spacing w:beforeLines="50" w:after="120" w:line="400" w:lineRule="exact"/>
              <w:jc w:val="center"/>
              <w:rPr>
                <w:rFonts w:eastAsia="標楷體"/>
                <w:b/>
                <w:sz w:val="32"/>
                <w:szCs w:val="32"/>
              </w:rPr>
            </w:pPr>
            <w:r w:rsidRPr="00F61440">
              <w:rPr>
                <w:rFonts w:eastAsia="標楷體" w:hint="eastAsia"/>
                <w:b/>
                <w:sz w:val="32"/>
                <w:szCs w:val="32"/>
              </w:rPr>
              <w:t>條例</w:t>
            </w:r>
          </w:p>
        </w:tc>
        <w:tc>
          <w:tcPr>
            <w:tcW w:w="3898" w:type="dxa"/>
            <w:tcBorders>
              <w:top w:val="double" w:sz="4" w:space="0" w:color="auto"/>
              <w:left w:val="double" w:sz="4" w:space="0" w:color="auto"/>
              <w:bottom w:val="double" w:sz="4" w:space="0" w:color="auto"/>
            </w:tcBorders>
            <w:vAlign w:val="center"/>
          </w:tcPr>
          <w:p w:rsidR="00407EC8" w:rsidRPr="00F61440" w:rsidRDefault="00407EC8" w:rsidP="00D10F74">
            <w:pPr>
              <w:spacing w:beforeLines="50" w:after="120" w:line="400" w:lineRule="exact"/>
              <w:jc w:val="center"/>
              <w:rPr>
                <w:rFonts w:eastAsia="標楷體"/>
                <w:b/>
                <w:sz w:val="32"/>
                <w:szCs w:val="32"/>
              </w:rPr>
            </w:pPr>
            <w:r w:rsidRPr="00F61440">
              <w:rPr>
                <w:rFonts w:eastAsia="標楷體" w:hint="eastAsia"/>
                <w:b/>
                <w:sz w:val="32"/>
                <w:szCs w:val="32"/>
              </w:rPr>
              <w:t>「產業創新條例」</w:t>
            </w:r>
          </w:p>
        </w:tc>
        <w:tc>
          <w:tcPr>
            <w:tcW w:w="3898" w:type="dxa"/>
            <w:tcBorders>
              <w:top w:val="double" w:sz="4" w:space="0" w:color="auto"/>
              <w:bottom w:val="double" w:sz="4" w:space="0" w:color="auto"/>
            </w:tcBorders>
            <w:vAlign w:val="center"/>
          </w:tcPr>
          <w:p w:rsidR="00407EC8" w:rsidRPr="00F61440" w:rsidRDefault="00407EC8" w:rsidP="00D10F74">
            <w:pPr>
              <w:spacing w:beforeLines="50" w:after="120" w:line="400" w:lineRule="exact"/>
              <w:jc w:val="center"/>
              <w:rPr>
                <w:rFonts w:eastAsia="標楷體"/>
                <w:b/>
                <w:sz w:val="32"/>
                <w:szCs w:val="32"/>
              </w:rPr>
            </w:pPr>
            <w:r w:rsidRPr="00F61440">
              <w:rPr>
                <w:rFonts w:eastAsia="標楷體" w:hint="eastAsia"/>
                <w:b/>
                <w:sz w:val="32"/>
                <w:szCs w:val="32"/>
              </w:rPr>
              <w:t>「自由經濟示範區特別條例」（草案）</w:t>
            </w:r>
          </w:p>
        </w:tc>
      </w:tr>
      <w:tr w:rsidR="00407EC8" w:rsidRPr="00F61440" w:rsidTr="008F2B47">
        <w:tc>
          <w:tcPr>
            <w:tcW w:w="959" w:type="dxa"/>
            <w:tcBorders>
              <w:top w:val="double" w:sz="4" w:space="0" w:color="auto"/>
              <w:bottom w:val="double" w:sz="4" w:space="0" w:color="auto"/>
              <w:right w:val="double" w:sz="4" w:space="0" w:color="auto"/>
            </w:tcBorders>
            <w:vAlign w:val="center"/>
          </w:tcPr>
          <w:p w:rsidR="00407EC8" w:rsidRPr="00F61440" w:rsidRDefault="00407EC8" w:rsidP="00D10F74">
            <w:pPr>
              <w:spacing w:beforeLines="50" w:after="120" w:line="400" w:lineRule="exact"/>
              <w:jc w:val="center"/>
              <w:rPr>
                <w:rFonts w:eastAsia="標楷體"/>
                <w:b/>
                <w:sz w:val="32"/>
                <w:szCs w:val="32"/>
              </w:rPr>
            </w:pPr>
            <w:r w:rsidRPr="00F61440">
              <w:rPr>
                <w:rFonts w:eastAsia="標楷體" w:hint="eastAsia"/>
                <w:b/>
                <w:sz w:val="32"/>
                <w:szCs w:val="32"/>
              </w:rPr>
              <w:t>條文內容</w:t>
            </w:r>
          </w:p>
        </w:tc>
        <w:tc>
          <w:tcPr>
            <w:tcW w:w="3898" w:type="dxa"/>
            <w:tcBorders>
              <w:top w:val="double" w:sz="4" w:space="0" w:color="auto"/>
              <w:left w:val="double" w:sz="4" w:space="0" w:color="auto"/>
              <w:bottom w:val="double" w:sz="4" w:space="0" w:color="auto"/>
            </w:tcBorders>
          </w:tcPr>
          <w:p w:rsidR="00407EC8" w:rsidRPr="00F61440" w:rsidRDefault="00407EC8" w:rsidP="00D10F74">
            <w:pPr>
              <w:spacing w:beforeLines="50" w:after="120" w:line="400" w:lineRule="exact"/>
              <w:jc w:val="both"/>
              <w:rPr>
                <w:rFonts w:eastAsia="標楷體"/>
                <w:sz w:val="32"/>
                <w:szCs w:val="32"/>
              </w:rPr>
            </w:pPr>
            <w:r w:rsidRPr="00F61440">
              <w:rPr>
                <w:rFonts w:eastAsia="標楷體" w:hint="eastAsia"/>
                <w:sz w:val="32"/>
                <w:szCs w:val="32"/>
              </w:rPr>
              <w:t>第</w:t>
            </w:r>
            <w:r w:rsidRPr="00F61440">
              <w:rPr>
                <w:rFonts w:eastAsia="標楷體"/>
                <w:sz w:val="32"/>
                <w:szCs w:val="32"/>
              </w:rPr>
              <w:t>40</w:t>
            </w:r>
            <w:r w:rsidRPr="00F61440">
              <w:rPr>
                <w:rFonts w:eastAsia="標楷體" w:hint="eastAsia"/>
                <w:sz w:val="32"/>
                <w:szCs w:val="32"/>
              </w:rPr>
              <w:t>條</w:t>
            </w:r>
          </w:p>
          <w:p w:rsidR="00407EC8" w:rsidRPr="00F61440" w:rsidRDefault="00407EC8" w:rsidP="008F2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0" w:after="120" w:line="400" w:lineRule="exact"/>
              <w:jc w:val="both"/>
              <w:rPr>
                <w:rFonts w:eastAsia="標楷體"/>
                <w:sz w:val="32"/>
                <w:szCs w:val="32"/>
              </w:rPr>
            </w:pPr>
            <w:r w:rsidRPr="00F61440">
              <w:rPr>
                <w:rFonts w:eastAsia="標楷體" w:hint="eastAsia"/>
                <w:sz w:val="32"/>
                <w:szCs w:val="32"/>
              </w:rPr>
              <w:t xml:space="preserve">　　因產業園區發展需求，申請變更已通過之產業園區環境影響說明書或評估書，其屬依環境影響評估法規定應提變更內容對照表，且變更內容符合下列要件之一者，得由原核定設置產業園區之中央主管機關或直轄市、縣（市）主管機關審查核定，送中央環境保護主管機關備查，不受環境影響評估法第</w:t>
            </w:r>
            <w:r w:rsidRPr="00F61440">
              <w:rPr>
                <w:rFonts w:eastAsia="標楷體"/>
                <w:sz w:val="32"/>
                <w:szCs w:val="32"/>
              </w:rPr>
              <w:t>16</w:t>
            </w:r>
            <w:r w:rsidRPr="00F61440">
              <w:rPr>
                <w:rFonts w:eastAsia="標楷體" w:hint="eastAsia"/>
                <w:sz w:val="32"/>
                <w:szCs w:val="32"/>
              </w:rPr>
              <w:t>條規定之限制：</w:t>
            </w:r>
          </w:p>
          <w:p w:rsidR="00407EC8" w:rsidRPr="00F61440" w:rsidRDefault="00407EC8" w:rsidP="008F2B47">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0" w:after="120" w:line="400" w:lineRule="exact"/>
              <w:ind w:leftChars="0"/>
              <w:rPr>
                <w:rFonts w:eastAsia="標楷體"/>
                <w:sz w:val="32"/>
                <w:szCs w:val="32"/>
              </w:rPr>
            </w:pPr>
            <w:r w:rsidRPr="00F61440">
              <w:rPr>
                <w:rFonts w:eastAsia="標楷體" w:hint="eastAsia"/>
                <w:sz w:val="32"/>
                <w:szCs w:val="32"/>
              </w:rPr>
              <w:t>產業園區內坵塊之整併或分割。</w:t>
            </w:r>
          </w:p>
          <w:p w:rsidR="00407EC8" w:rsidRPr="00F61440" w:rsidRDefault="00407EC8" w:rsidP="008F2B47">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0" w:after="120" w:line="400" w:lineRule="exact"/>
              <w:ind w:leftChars="0"/>
              <w:rPr>
                <w:rFonts w:eastAsia="標楷體"/>
                <w:sz w:val="32"/>
                <w:szCs w:val="32"/>
              </w:rPr>
            </w:pPr>
            <w:r w:rsidRPr="00F61440">
              <w:rPr>
                <w:rFonts w:eastAsia="標楷體" w:hint="eastAsia"/>
                <w:sz w:val="32"/>
                <w:szCs w:val="32"/>
              </w:rPr>
              <w:t>產業園區內公共設施局部調整位置。</w:t>
            </w:r>
          </w:p>
          <w:p w:rsidR="00407EC8" w:rsidRPr="00F61440" w:rsidRDefault="00407EC8" w:rsidP="00D10F74">
            <w:pPr>
              <w:spacing w:beforeLines="50" w:after="120" w:line="400" w:lineRule="exact"/>
              <w:jc w:val="both"/>
              <w:rPr>
                <w:rFonts w:eastAsia="標楷體"/>
                <w:sz w:val="32"/>
                <w:szCs w:val="32"/>
              </w:rPr>
            </w:pPr>
            <w:r w:rsidRPr="00F61440">
              <w:rPr>
                <w:rFonts w:eastAsia="標楷體" w:hint="eastAsia"/>
                <w:sz w:val="32"/>
                <w:szCs w:val="32"/>
              </w:rPr>
              <w:t xml:space="preserve">　　前項審查作業辦法，由中央主管機關會同中央環境保護主管機關定之。</w:t>
            </w:r>
          </w:p>
        </w:tc>
        <w:tc>
          <w:tcPr>
            <w:tcW w:w="3898" w:type="dxa"/>
            <w:tcBorders>
              <w:top w:val="double" w:sz="4" w:space="0" w:color="auto"/>
              <w:bottom w:val="double" w:sz="4" w:space="0" w:color="auto"/>
            </w:tcBorders>
          </w:tcPr>
          <w:p w:rsidR="00407EC8" w:rsidRPr="00F61440" w:rsidRDefault="00407EC8" w:rsidP="00D10F74">
            <w:pPr>
              <w:spacing w:beforeLines="50" w:after="120" w:line="400" w:lineRule="exact"/>
              <w:jc w:val="both"/>
              <w:rPr>
                <w:rFonts w:eastAsia="標楷體"/>
                <w:sz w:val="32"/>
                <w:szCs w:val="32"/>
              </w:rPr>
            </w:pPr>
            <w:r w:rsidRPr="00F61440">
              <w:rPr>
                <w:rFonts w:eastAsia="標楷體" w:hint="eastAsia"/>
                <w:sz w:val="32"/>
                <w:szCs w:val="32"/>
              </w:rPr>
              <w:t>第</w:t>
            </w:r>
            <w:r w:rsidRPr="00F61440">
              <w:rPr>
                <w:rFonts w:eastAsia="標楷體"/>
                <w:sz w:val="32"/>
                <w:szCs w:val="32"/>
              </w:rPr>
              <w:t>17</w:t>
            </w:r>
            <w:r w:rsidRPr="00F61440">
              <w:rPr>
                <w:rFonts w:eastAsia="標楷體" w:hint="eastAsia"/>
                <w:sz w:val="32"/>
                <w:szCs w:val="32"/>
              </w:rPr>
              <w:t>條</w:t>
            </w:r>
          </w:p>
          <w:p w:rsidR="00407EC8" w:rsidRPr="00F61440" w:rsidRDefault="00407EC8" w:rsidP="00D10F74">
            <w:pPr>
              <w:spacing w:beforeLines="50" w:after="120" w:line="400" w:lineRule="exact"/>
              <w:jc w:val="both"/>
              <w:rPr>
                <w:rFonts w:eastAsia="標楷體"/>
                <w:sz w:val="32"/>
                <w:szCs w:val="32"/>
              </w:rPr>
            </w:pPr>
            <w:r w:rsidRPr="00F61440">
              <w:rPr>
                <w:rFonts w:eastAsia="標楷體" w:hint="eastAsia"/>
                <w:sz w:val="32"/>
                <w:szCs w:val="32"/>
              </w:rPr>
              <w:t>依第</w:t>
            </w:r>
            <w:r w:rsidRPr="00F61440">
              <w:rPr>
                <w:rFonts w:eastAsia="標楷體"/>
                <w:sz w:val="32"/>
                <w:szCs w:val="32"/>
              </w:rPr>
              <w:t>13</w:t>
            </w:r>
            <w:r w:rsidRPr="00F61440">
              <w:rPr>
                <w:rFonts w:eastAsia="標楷體" w:hint="eastAsia"/>
                <w:sz w:val="32"/>
                <w:szCs w:val="32"/>
              </w:rPr>
              <w:t>條規定設置之示範區，如其變更內容未增加面積或未超出原核定污染總量，且變更內容符合下列要件之一，得由申設機關檢附變更說明之相關資料送原環境影響評估審查主管機關備查，不適用環境影響評估法第</w:t>
            </w:r>
            <w:r w:rsidRPr="00F61440">
              <w:rPr>
                <w:rFonts w:eastAsia="標楷體"/>
                <w:sz w:val="32"/>
                <w:szCs w:val="32"/>
              </w:rPr>
              <w:t>16</w:t>
            </w:r>
            <w:r w:rsidRPr="00F61440">
              <w:rPr>
                <w:rFonts w:eastAsia="標楷體" w:hint="eastAsia"/>
                <w:sz w:val="32"/>
                <w:szCs w:val="32"/>
              </w:rPr>
              <w:t>條第</w:t>
            </w:r>
            <w:r w:rsidRPr="00F61440">
              <w:rPr>
                <w:rFonts w:eastAsia="標楷體"/>
                <w:sz w:val="32"/>
                <w:szCs w:val="32"/>
              </w:rPr>
              <w:t>1</w:t>
            </w:r>
            <w:r w:rsidRPr="00F61440">
              <w:rPr>
                <w:rFonts w:eastAsia="標楷體" w:hint="eastAsia"/>
                <w:sz w:val="32"/>
                <w:szCs w:val="32"/>
              </w:rPr>
              <w:t>項不得變更原申請內容之規定：</w:t>
            </w:r>
          </w:p>
          <w:p w:rsidR="00407EC8" w:rsidRPr="00F61440" w:rsidRDefault="00407EC8" w:rsidP="00D10F74">
            <w:pPr>
              <w:pStyle w:val="ListParagraph"/>
              <w:numPr>
                <w:ilvl w:val="0"/>
                <w:numId w:val="3"/>
              </w:numPr>
              <w:spacing w:beforeLines="50" w:after="120" w:line="400" w:lineRule="exact"/>
              <w:ind w:leftChars="0"/>
              <w:jc w:val="both"/>
              <w:rPr>
                <w:rFonts w:eastAsia="標楷體"/>
                <w:sz w:val="32"/>
                <w:szCs w:val="32"/>
              </w:rPr>
            </w:pPr>
            <w:r w:rsidRPr="00F61440">
              <w:rPr>
                <w:rFonts w:eastAsia="標楷體" w:hint="eastAsia"/>
                <w:sz w:val="32"/>
                <w:szCs w:val="32"/>
              </w:rPr>
              <w:t>區內坵塊整併或分割。</w:t>
            </w:r>
          </w:p>
          <w:p w:rsidR="00407EC8" w:rsidRPr="00F61440" w:rsidRDefault="00407EC8" w:rsidP="00D10F74">
            <w:pPr>
              <w:pStyle w:val="ListParagraph"/>
              <w:numPr>
                <w:ilvl w:val="0"/>
                <w:numId w:val="3"/>
              </w:numPr>
              <w:spacing w:beforeLines="50" w:after="120" w:line="400" w:lineRule="exact"/>
              <w:ind w:leftChars="0"/>
              <w:jc w:val="both"/>
              <w:rPr>
                <w:rFonts w:eastAsia="標楷體"/>
                <w:sz w:val="32"/>
                <w:szCs w:val="32"/>
              </w:rPr>
            </w:pPr>
            <w:r w:rsidRPr="00F61440">
              <w:rPr>
                <w:rFonts w:eastAsia="標楷體" w:hint="eastAsia"/>
                <w:sz w:val="32"/>
                <w:szCs w:val="32"/>
              </w:rPr>
              <w:t>區內配置調整或建物樓地板面積變更。</w:t>
            </w:r>
          </w:p>
          <w:p w:rsidR="00407EC8" w:rsidRPr="00F61440" w:rsidRDefault="00407EC8" w:rsidP="00D10F74">
            <w:pPr>
              <w:pStyle w:val="ListParagraph"/>
              <w:numPr>
                <w:ilvl w:val="0"/>
                <w:numId w:val="3"/>
              </w:numPr>
              <w:spacing w:beforeLines="50" w:after="120" w:line="400" w:lineRule="exact"/>
              <w:ind w:leftChars="0"/>
              <w:jc w:val="both"/>
              <w:rPr>
                <w:rFonts w:eastAsia="標楷體"/>
                <w:sz w:val="32"/>
                <w:szCs w:val="32"/>
              </w:rPr>
            </w:pPr>
            <w:r w:rsidRPr="00F61440">
              <w:rPr>
                <w:rFonts w:eastAsia="標楷體" w:hint="eastAsia"/>
                <w:sz w:val="32"/>
                <w:szCs w:val="32"/>
              </w:rPr>
              <w:t>引進產業類別變更。</w:t>
            </w:r>
          </w:p>
        </w:tc>
      </w:tr>
    </w:tbl>
    <w:p w:rsidR="00407EC8" w:rsidRPr="00FF52A6" w:rsidRDefault="00407EC8" w:rsidP="00D63105">
      <w:pPr>
        <w:spacing w:beforeLines="50" w:after="120" w:line="400" w:lineRule="exact"/>
        <w:ind w:firstLineChars="200" w:firstLine="640"/>
        <w:jc w:val="both"/>
        <w:rPr>
          <w:rFonts w:eastAsia="標楷體"/>
          <w:sz w:val="32"/>
          <w:szCs w:val="28"/>
        </w:rPr>
      </w:pPr>
    </w:p>
    <w:sectPr w:rsidR="00407EC8" w:rsidRPr="00FF52A6" w:rsidSect="00D73FF1">
      <w:pgSz w:w="11906" w:h="16838"/>
      <w:pgMar w:top="1440" w:right="1646" w:bottom="1440" w:left="16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EC8" w:rsidRDefault="00407EC8" w:rsidP="00E04693">
      <w:r>
        <w:separator/>
      </w:r>
    </w:p>
  </w:endnote>
  <w:endnote w:type="continuationSeparator" w:id="0">
    <w:p w:rsidR="00407EC8" w:rsidRDefault="00407EC8" w:rsidP="00E04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EC8" w:rsidRDefault="00407EC8" w:rsidP="00E04693">
      <w:r>
        <w:separator/>
      </w:r>
    </w:p>
  </w:footnote>
  <w:footnote w:type="continuationSeparator" w:id="0">
    <w:p w:rsidR="00407EC8" w:rsidRDefault="00407EC8" w:rsidP="00E04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224"/>
    <w:multiLevelType w:val="hybridMultilevel"/>
    <w:tmpl w:val="58589F7E"/>
    <w:lvl w:ilvl="0" w:tplc="A538EE3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0E3D8B"/>
    <w:multiLevelType w:val="hybridMultilevel"/>
    <w:tmpl w:val="327E8172"/>
    <w:lvl w:ilvl="0" w:tplc="F52C59D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12115E2"/>
    <w:multiLevelType w:val="hybridMultilevel"/>
    <w:tmpl w:val="CF2E9586"/>
    <w:lvl w:ilvl="0" w:tplc="9C829EF8">
      <w:start w:val="1"/>
      <w:numFmt w:val="taiwaneseCountingThousand"/>
      <w:lvlText w:val="%1、"/>
      <w:lvlJc w:val="left"/>
      <w:pPr>
        <w:tabs>
          <w:tab w:val="num" w:pos="720"/>
        </w:tabs>
        <w:ind w:left="720" w:hanging="720"/>
      </w:pPr>
      <w:rPr>
        <w:rFonts w:ascii="標楷體"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7AF"/>
    <w:rsid w:val="00114473"/>
    <w:rsid w:val="00115A0A"/>
    <w:rsid w:val="001456E1"/>
    <w:rsid w:val="00161A39"/>
    <w:rsid w:val="001A1851"/>
    <w:rsid w:val="001F6DF0"/>
    <w:rsid w:val="002156B1"/>
    <w:rsid w:val="0026651E"/>
    <w:rsid w:val="002746F4"/>
    <w:rsid w:val="002E7FCB"/>
    <w:rsid w:val="00305A97"/>
    <w:rsid w:val="003D474C"/>
    <w:rsid w:val="003E2F91"/>
    <w:rsid w:val="00400152"/>
    <w:rsid w:val="00407EC8"/>
    <w:rsid w:val="00420FAC"/>
    <w:rsid w:val="0042752B"/>
    <w:rsid w:val="00526B61"/>
    <w:rsid w:val="00541EC3"/>
    <w:rsid w:val="00556034"/>
    <w:rsid w:val="005B3DB1"/>
    <w:rsid w:val="0063608E"/>
    <w:rsid w:val="00643666"/>
    <w:rsid w:val="00690B2E"/>
    <w:rsid w:val="00705A51"/>
    <w:rsid w:val="007218C8"/>
    <w:rsid w:val="00754D56"/>
    <w:rsid w:val="00764860"/>
    <w:rsid w:val="00860507"/>
    <w:rsid w:val="008A17AF"/>
    <w:rsid w:val="008F2B47"/>
    <w:rsid w:val="008F358F"/>
    <w:rsid w:val="008F38CD"/>
    <w:rsid w:val="009634DE"/>
    <w:rsid w:val="009B49CB"/>
    <w:rsid w:val="009C7D2D"/>
    <w:rsid w:val="00A218DC"/>
    <w:rsid w:val="00A81CA1"/>
    <w:rsid w:val="00B151F0"/>
    <w:rsid w:val="00B45AC7"/>
    <w:rsid w:val="00B539C1"/>
    <w:rsid w:val="00BB0D39"/>
    <w:rsid w:val="00C63332"/>
    <w:rsid w:val="00CC3BD7"/>
    <w:rsid w:val="00D10F74"/>
    <w:rsid w:val="00D138D1"/>
    <w:rsid w:val="00D13F87"/>
    <w:rsid w:val="00D63105"/>
    <w:rsid w:val="00D73FF1"/>
    <w:rsid w:val="00E04693"/>
    <w:rsid w:val="00E3401F"/>
    <w:rsid w:val="00EA2FA2"/>
    <w:rsid w:val="00EC7581"/>
    <w:rsid w:val="00EE2466"/>
    <w:rsid w:val="00F61440"/>
    <w:rsid w:val="00FE310B"/>
    <w:rsid w:val="00FF52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F1"/>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64860"/>
    <w:rPr>
      <w:rFonts w:ascii="Arial" w:hAnsi="Arial"/>
      <w:sz w:val="18"/>
      <w:szCs w:val="18"/>
    </w:rPr>
  </w:style>
  <w:style w:type="character" w:customStyle="1" w:styleId="BalloonTextChar">
    <w:name w:val="Balloon Text Char"/>
    <w:basedOn w:val="DefaultParagraphFont"/>
    <w:link w:val="BalloonText"/>
    <w:uiPriority w:val="99"/>
    <w:semiHidden/>
    <w:rsid w:val="00C003A6"/>
    <w:rPr>
      <w:rFonts w:asciiTheme="majorHAnsi" w:eastAsiaTheme="majorEastAsia" w:hAnsiTheme="majorHAnsi" w:cstheme="majorBidi"/>
      <w:sz w:val="0"/>
      <w:szCs w:val="0"/>
    </w:rPr>
  </w:style>
  <w:style w:type="paragraph" w:styleId="Header">
    <w:name w:val="header"/>
    <w:basedOn w:val="Normal"/>
    <w:link w:val="HeaderChar"/>
    <w:uiPriority w:val="99"/>
    <w:rsid w:val="00E046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04693"/>
    <w:rPr>
      <w:rFonts w:cs="Times New Roman"/>
      <w:kern w:val="2"/>
    </w:rPr>
  </w:style>
  <w:style w:type="paragraph" w:styleId="Footer">
    <w:name w:val="footer"/>
    <w:basedOn w:val="Normal"/>
    <w:link w:val="FooterChar"/>
    <w:uiPriority w:val="99"/>
    <w:rsid w:val="00E0469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04693"/>
    <w:rPr>
      <w:rFonts w:cs="Times New Roman"/>
      <w:kern w:val="2"/>
    </w:rPr>
  </w:style>
  <w:style w:type="table" w:styleId="TableGrid">
    <w:name w:val="Table Grid"/>
    <w:basedOn w:val="TableNormal"/>
    <w:uiPriority w:val="99"/>
    <w:rsid w:val="00526B6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021">
    <w:name w:val="text021"/>
    <w:basedOn w:val="DefaultParagraphFont"/>
    <w:uiPriority w:val="99"/>
    <w:rsid w:val="00420FAC"/>
    <w:rPr>
      <w:rFonts w:cs="Times New Roman"/>
      <w:b/>
      <w:bCs/>
      <w:sz w:val="26"/>
      <w:szCs w:val="26"/>
    </w:rPr>
  </w:style>
  <w:style w:type="paragraph" w:styleId="HTMLPreformatted">
    <w:name w:val="HTML Preformatted"/>
    <w:basedOn w:val="Normal"/>
    <w:link w:val="HTMLPreformattedChar"/>
    <w:uiPriority w:val="99"/>
    <w:rsid w:val="00215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2156B1"/>
    <w:rPr>
      <w:rFonts w:ascii="細明體" w:eastAsia="細明體" w:hAnsi="細明體" w:cs="細明體"/>
      <w:sz w:val="24"/>
      <w:szCs w:val="24"/>
    </w:rPr>
  </w:style>
  <w:style w:type="paragraph" w:styleId="ListParagraph">
    <w:name w:val="List Paragraph"/>
    <w:basedOn w:val="Normal"/>
    <w:uiPriority w:val="99"/>
    <w:qFormat/>
    <w:rsid w:val="002156B1"/>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63</Words>
  <Characters>365</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行政院環境保護署新聞資料                97年2月19日</dc:title>
  <dc:subject/>
  <dc:creator>epa</dc:creator>
  <cp:keywords/>
  <dc:description/>
  <cp:lastModifiedBy>tcliuf</cp:lastModifiedBy>
  <cp:revision>3</cp:revision>
  <cp:lastPrinted>2014-04-15T08:10:00Z</cp:lastPrinted>
  <dcterms:created xsi:type="dcterms:W3CDTF">2014-04-18T09:42:00Z</dcterms:created>
  <dcterms:modified xsi:type="dcterms:W3CDTF">2014-04-18T09:43:00Z</dcterms:modified>
</cp:coreProperties>
</file>