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33" w:rsidRPr="00A75E30" w:rsidRDefault="00D10C33" w:rsidP="00A75E30">
      <w:pPr>
        <w:keepNext/>
        <w:keepLines/>
        <w:pageBreakBefore/>
        <w:widowControl/>
        <w:snapToGrid w:val="0"/>
        <w:spacing w:beforeLines="50" w:afterLines="50"/>
        <w:jc w:val="both"/>
        <w:rPr>
          <w:rFonts w:ascii="標楷體" w:eastAsia="標楷體" w:hAnsi="標楷體" w:cs="Times New Roman"/>
          <w:kern w:val="0"/>
          <w:sz w:val="40"/>
          <w:szCs w:val="40"/>
        </w:rPr>
      </w:pPr>
      <w:r w:rsidRPr="00A75E30">
        <w:rPr>
          <w:rFonts w:ascii="Times New Roman" w:eastAsia="標楷體" w:hAnsi="標楷體" w:cs="Times New Roman" w:hint="eastAsia"/>
          <w:sz w:val="40"/>
          <w:szCs w:val="40"/>
        </w:rPr>
        <w:t>土壤及地下水污染整治場址環境影響與健康風險評估辦法</w:t>
      </w:r>
      <w:r w:rsidR="00871F57" w:rsidRPr="00A75E30">
        <w:rPr>
          <w:rFonts w:ascii="Times New Roman" w:eastAsia="標楷體" w:hAnsi="標楷體" w:cs="Times New Roman" w:hint="eastAsia"/>
          <w:sz w:val="40"/>
          <w:szCs w:val="40"/>
        </w:rPr>
        <w:t>第六條、第九條</w:t>
      </w:r>
      <w:r w:rsidRPr="00A75E30">
        <w:rPr>
          <w:rFonts w:ascii="Times New Roman" w:eastAsia="標楷體" w:hAnsi="標楷體" w:cs="Times New Roman" w:hint="eastAsia"/>
          <w:sz w:val="40"/>
          <w:szCs w:val="40"/>
        </w:rPr>
        <w:t>修正草案總說明</w:t>
      </w:r>
    </w:p>
    <w:p w:rsidR="00D10C33" w:rsidRPr="00A75E30" w:rsidRDefault="00245E93" w:rsidP="00D10C33">
      <w:pPr>
        <w:widowControl/>
        <w:spacing w:line="460" w:lineRule="exact"/>
        <w:ind w:firstLineChars="200" w:firstLine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行政院環境保護署於中華民國</w:t>
      </w:r>
      <w:r w:rsidR="007A73FA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一百零二</w:t>
      </w:r>
      <w:r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年</w:t>
      </w:r>
      <w:r w:rsidR="007A73FA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十</w:t>
      </w:r>
      <w:r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月</w:t>
      </w:r>
      <w:r w:rsidR="007A73FA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三十一</w:t>
      </w:r>
      <w:r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日依</w:t>
      </w:r>
      <w:r w:rsidR="00D10C33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土壤及地下水污染整治法（以下簡稱本法）第二十四條第八項規定訂定本辦法，為廣泛建立民眾參與管道，</w:t>
      </w:r>
      <w:r w:rsidR="00CC4E7C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擬於本辦法有關</w:t>
      </w:r>
      <w:r w:rsidR="008138D8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民眾參與作業</w:t>
      </w:r>
      <w:r w:rsidR="00CC4E7C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部分增訂</w:t>
      </w:r>
      <w:r w:rsidR="008138D8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結合網際網路參與方式進行</w:t>
      </w:r>
      <w:r w:rsidR="00CC4E7C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之規定</w:t>
      </w:r>
      <w:r w:rsidR="00D10C33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，以期擴大網路多元參與、強化民</w:t>
      </w:r>
      <w:r w:rsidR="008138D8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眾</w:t>
      </w:r>
      <w:r w:rsidR="00D10C33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參與機制。</w:t>
      </w:r>
      <w:proofErr w:type="gramStart"/>
      <w:r w:rsidR="00E32057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爰</w:t>
      </w:r>
      <w:proofErr w:type="gramEnd"/>
      <w:r w:rsidR="00E32057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擬具本辦法修正草案，其</w:t>
      </w:r>
      <w:r w:rsidR="008138D8" w:rsidRPr="00A75E30">
        <w:rPr>
          <w:rFonts w:ascii="標楷體" w:eastAsia="標楷體" w:hAnsi="標楷體" w:cs="Times New Roman" w:hint="eastAsia"/>
          <w:kern w:val="0"/>
          <w:sz w:val="28"/>
          <w:szCs w:val="28"/>
        </w:rPr>
        <w:t>主要修正重點如下：</w:t>
      </w:r>
    </w:p>
    <w:p w:rsidR="00D10C33" w:rsidRPr="00A75E30" w:rsidRDefault="00657CC6" w:rsidP="00B833CC">
      <w:pPr>
        <w:numPr>
          <w:ilvl w:val="0"/>
          <w:numId w:val="1"/>
        </w:numPr>
        <w:tabs>
          <w:tab w:val="clear" w:pos="435"/>
          <w:tab w:val="num" w:pos="567"/>
        </w:tabs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75E30">
        <w:rPr>
          <w:rFonts w:ascii="標楷體" w:eastAsia="標楷體" w:hAnsi="標楷體" w:cs="Times New Roman" w:hint="eastAsia"/>
          <w:sz w:val="28"/>
          <w:szCs w:val="28"/>
        </w:rPr>
        <w:t>新增</w:t>
      </w:r>
      <w:r w:rsidR="00CC4E7C" w:rsidRPr="00A75E30">
        <w:rPr>
          <w:rFonts w:ascii="標楷體" w:eastAsia="標楷體" w:hAnsi="標楷體" w:cs="Times New Roman" w:hint="eastAsia"/>
          <w:sz w:val="28"/>
          <w:szCs w:val="28"/>
        </w:rPr>
        <w:t>辦理風險溝通作業</w:t>
      </w:r>
      <w:r w:rsidRPr="00A75E30">
        <w:rPr>
          <w:rFonts w:ascii="標楷體" w:eastAsia="標楷體" w:hAnsi="標楷體" w:cs="Times New Roman" w:hint="eastAsia"/>
          <w:sz w:val="28"/>
          <w:szCs w:val="28"/>
        </w:rPr>
        <w:t>得</w:t>
      </w:r>
      <w:r w:rsidR="00CC4E7C" w:rsidRPr="00A75E30">
        <w:rPr>
          <w:rFonts w:ascii="標楷體" w:eastAsia="標楷體" w:hAnsi="標楷體" w:cs="Times New Roman" w:hint="eastAsia"/>
          <w:sz w:val="28"/>
          <w:szCs w:val="28"/>
        </w:rPr>
        <w:t>提供網際網路參與方式</w:t>
      </w:r>
      <w:r w:rsidR="00D10C33" w:rsidRPr="00A75E30">
        <w:rPr>
          <w:rFonts w:ascii="標楷體" w:eastAsia="標楷體" w:hAnsi="標楷體" w:cs="Times New Roman"/>
          <w:sz w:val="28"/>
          <w:szCs w:val="28"/>
        </w:rPr>
        <w:t>。（</w:t>
      </w:r>
      <w:r w:rsidR="00FD7179" w:rsidRPr="00A75E30">
        <w:rPr>
          <w:rFonts w:ascii="標楷體" w:eastAsia="標楷體" w:hAnsi="標楷體" w:cs="Times New Roman" w:hint="eastAsia"/>
          <w:sz w:val="28"/>
          <w:szCs w:val="28"/>
        </w:rPr>
        <w:t>修正條文</w:t>
      </w:r>
      <w:r w:rsidR="00D10C33" w:rsidRPr="00A75E30">
        <w:rPr>
          <w:rFonts w:ascii="標楷體" w:eastAsia="標楷體" w:hAnsi="標楷體" w:cs="Times New Roman"/>
          <w:sz w:val="28"/>
          <w:szCs w:val="28"/>
        </w:rPr>
        <w:t>第</w:t>
      </w:r>
      <w:r w:rsidR="00D10C33" w:rsidRPr="00A75E30">
        <w:rPr>
          <w:rFonts w:ascii="標楷體" w:eastAsia="標楷體" w:hAnsi="標楷體" w:hint="eastAsia"/>
          <w:sz w:val="28"/>
          <w:szCs w:val="28"/>
        </w:rPr>
        <w:t>六</w:t>
      </w:r>
      <w:r w:rsidR="00D10C33" w:rsidRPr="00A75E30">
        <w:rPr>
          <w:rFonts w:ascii="標楷體" w:eastAsia="標楷體" w:hAnsi="標楷體" w:cs="Times New Roman"/>
          <w:sz w:val="28"/>
          <w:szCs w:val="28"/>
        </w:rPr>
        <w:t>條）</w:t>
      </w:r>
    </w:p>
    <w:p w:rsidR="00D10C33" w:rsidRPr="00A75E30" w:rsidRDefault="00657CC6" w:rsidP="00B833CC">
      <w:pPr>
        <w:numPr>
          <w:ilvl w:val="0"/>
          <w:numId w:val="1"/>
        </w:numPr>
        <w:tabs>
          <w:tab w:val="clear" w:pos="435"/>
          <w:tab w:val="num" w:pos="567"/>
        </w:tabs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A75E30">
        <w:rPr>
          <w:rFonts w:ascii="標楷體" w:eastAsia="標楷體" w:hAnsi="標楷體" w:cs="Times New Roman" w:hint="eastAsia"/>
          <w:sz w:val="28"/>
          <w:szCs w:val="28"/>
        </w:rPr>
        <w:t>新增辦理公聽會得提供網際網路參與方式</w:t>
      </w:r>
      <w:r w:rsidR="00D10C33" w:rsidRPr="00A75E30">
        <w:rPr>
          <w:rFonts w:ascii="標楷體" w:eastAsia="標楷體" w:hAnsi="標楷體"/>
          <w:sz w:val="28"/>
          <w:szCs w:val="28"/>
        </w:rPr>
        <w:t>。（</w:t>
      </w:r>
      <w:r w:rsidR="00FD7179" w:rsidRPr="00A75E30">
        <w:rPr>
          <w:rFonts w:ascii="標楷體" w:eastAsia="標楷體" w:hAnsi="標楷體" w:cs="Times New Roman" w:hint="eastAsia"/>
          <w:sz w:val="28"/>
          <w:szCs w:val="28"/>
        </w:rPr>
        <w:t>修正條文</w:t>
      </w:r>
      <w:r w:rsidR="00D10C33" w:rsidRPr="00A75E30">
        <w:rPr>
          <w:rFonts w:ascii="標楷體" w:eastAsia="標楷體" w:hAnsi="標楷體"/>
          <w:sz w:val="28"/>
          <w:szCs w:val="28"/>
        </w:rPr>
        <w:t>第</w:t>
      </w:r>
      <w:r w:rsidR="00D10C33" w:rsidRPr="00A75E30">
        <w:rPr>
          <w:rFonts w:ascii="標楷體" w:eastAsia="標楷體" w:hAnsi="標楷體" w:hint="eastAsia"/>
          <w:sz w:val="28"/>
          <w:szCs w:val="28"/>
        </w:rPr>
        <w:t>九</w:t>
      </w:r>
      <w:r w:rsidR="00D10C33" w:rsidRPr="00A75E30">
        <w:rPr>
          <w:rFonts w:ascii="標楷體" w:eastAsia="標楷體" w:hAnsi="標楷體" w:cs="Times New Roman"/>
          <w:sz w:val="28"/>
          <w:szCs w:val="28"/>
        </w:rPr>
        <w:t>條）</w:t>
      </w:r>
    </w:p>
    <w:p w:rsidR="00D10C33" w:rsidRPr="00A75E30" w:rsidRDefault="00D10C33" w:rsidP="00D10C33">
      <w:pPr>
        <w:widowControl/>
        <w:spacing w:line="460" w:lineRule="exact"/>
        <w:ind w:firstLineChars="200" w:firstLine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D10C33" w:rsidRPr="00A75E30" w:rsidRDefault="00D10C33">
      <w:pPr>
        <w:widowControl/>
        <w:rPr>
          <w:rFonts w:ascii="標楷體" w:eastAsia="標楷體" w:hAnsi="標楷體"/>
          <w:sz w:val="28"/>
          <w:szCs w:val="28"/>
        </w:rPr>
      </w:pPr>
      <w:r w:rsidRPr="00A75E30">
        <w:rPr>
          <w:rFonts w:ascii="標楷體" w:eastAsia="標楷體" w:hAnsi="標楷體"/>
          <w:sz w:val="28"/>
          <w:szCs w:val="28"/>
        </w:rPr>
        <w:br w:type="page"/>
      </w:r>
    </w:p>
    <w:p w:rsidR="007B3098" w:rsidRPr="00A75E30" w:rsidRDefault="008B3049" w:rsidP="00D10C33">
      <w:pPr>
        <w:keepNext/>
        <w:keepLines/>
        <w:pageBreakBefore/>
        <w:widowControl/>
        <w:rPr>
          <w:rFonts w:ascii="標楷體" w:eastAsia="標楷體" w:hAnsi="標楷體" w:cs="Times New Roman"/>
          <w:noProof/>
          <w:snapToGrid w:val="0"/>
          <w:kern w:val="0"/>
          <w:sz w:val="40"/>
          <w:szCs w:val="40"/>
        </w:rPr>
      </w:pPr>
      <w:r w:rsidRPr="00A75E30">
        <w:rPr>
          <w:rFonts w:ascii="標楷體" w:eastAsia="標楷體" w:hAnsi="標楷體" w:cs="Times New Roman" w:hint="eastAsia"/>
          <w:noProof/>
          <w:snapToGrid w:val="0"/>
          <w:kern w:val="0"/>
          <w:sz w:val="40"/>
          <w:szCs w:val="40"/>
        </w:rPr>
        <w:lastRenderedPageBreak/>
        <w:t>土壤及地下水污染整治場址環境影響與健康風險評估辦法</w:t>
      </w:r>
      <w:r w:rsidR="00871F57" w:rsidRPr="00A75E30">
        <w:rPr>
          <w:rFonts w:ascii="Times New Roman" w:eastAsia="標楷體" w:hAnsi="標楷體" w:cs="Times New Roman" w:hint="eastAsia"/>
          <w:sz w:val="40"/>
          <w:szCs w:val="40"/>
        </w:rPr>
        <w:t>第六條、第九條</w:t>
      </w:r>
      <w:r w:rsidRPr="00A75E30">
        <w:rPr>
          <w:rFonts w:ascii="標楷體" w:eastAsia="標楷體" w:hAnsi="標楷體" w:cs="Times New Roman" w:hint="eastAsia"/>
          <w:noProof/>
          <w:snapToGrid w:val="0"/>
          <w:kern w:val="0"/>
          <w:sz w:val="40"/>
          <w:szCs w:val="40"/>
        </w:rPr>
        <w:t>修正</w:t>
      </w:r>
      <w:r w:rsidR="00833915" w:rsidRPr="00A75E30">
        <w:rPr>
          <w:rFonts w:ascii="標楷體" w:eastAsia="標楷體" w:hAnsi="標楷體" w:cs="Times New Roman" w:hint="eastAsia"/>
          <w:noProof/>
          <w:snapToGrid w:val="0"/>
          <w:kern w:val="0"/>
          <w:sz w:val="40"/>
          <w:szCs w:val="40"/>
        </w:rPr>
        <w:t>草案條文</w:t>
      </w:r>
      <w:r w:rsidRPr="00A75E30">
        <w:rPr>
          <w:rFonts w:ascii="標楷體" w:eastAsia="標楷體" w:hAnsi="標楷體" w:cs="Times New Roman" w:hint="eastAsia"/>
          <w:noProof/>
          <w:snapToGrid w:val="0"/>
          <w:kern w:val="0"/>
          <w:sz w:val="40"/>
          <w:szCs w:val="40"/>
        </w:rPr>
        <w:t>對照</w:t>
      </w:r>
      <w:r w:rsidR="00871F57" w:rsidRPr="00A75E30">
        <w:rPr>
          <w:rFonts w:ascii="標楷體" w:eastAsia="標楷體" w:hAnsi="標楷體" w:cs="Times New Roman" w:hint="eastAsia"/>
          <w:noProof/>
          <w:snapToGrid w:val="0"/>
          <w:kern w:val="0"/>
          <w:sz w:val="40"/>
          <w:szCs w:val="40"/>
        </w:rPr>
        <w:t>表</w:t>
      </w:r>
    </w:p>
    <w:tbl>
      <w:tblPr>
        <w:tblStyle w:val="a3"/>
        <w:tblW w:w="8522" w:type="dxa"/>
        <w:tblInd w:w="108" w:type="dxa"/>
        <w:tblLook w:val="04A0"/>
      </w:tblPr>
      <w:tblGrid>
        <w:gridCol w:w="2933"/>
        <w:gridCol w:w="2932"/>
        <w:gridCol w:w="2657"/>
      </w:tblGrid>
      <w:tr w:rsidR="00D10C33" w:rsidRPr="00A75E30" w:rsidTr="00D10C33">
        <w:tc>
          <w:tcPr>
            <w:tcW w:w="2933" w:type="dxa"/>
          </w:tcPr>
          <w:p w:rsidR="00D10C33" w:rsidRPr="00A75E30" w:rsidRDefault="00D10C33" w:rsidP="00D10C3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>修正條文</w:t>
            </w:r>
          </w:p>
        </w:tc>
        <w:tc>
          <w:tcPr>
            <w:tcW w:w="2932" w:type="dxa"/>
          </w:tcPr>
          <w:p w:rsidR="00D10C33" w:rsidRPr="00A75E30" w:rsidRDefault="00FD7179" w:rsidP="00D10C3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>現行</w:t>
            </w:r>
            <w:r w:rsidR="00D10C33" w:rsidRPr="00A75E30">
              <w:rPr>
                <w:rFonts w:ascii="標楷體" w:eastAsia="標楷體" w:hAnsi="標楷體" w:hint="eastAsia"/>
                <w:szCs w:val="24"/>
              </w:rPr>
              <w:t>條文</w:t>
            </w:r>
          </w:p>
        </w:tc>
        <w:tc>
          <w:tcPr>
            <w:tcW w:w="2657" w:type="dxa"/>
          </w:tcPr>
          <w:p w:rsidR="00D10C33" w:rsidRPr="00A75E30" w:rsidRDefault="00D10C33" w:rsidP="00D10C3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D10C33" w:rsidRPr="00A75E30" w:rsidTr="00D10C33">
        <w:tc>
          <w:tcPr>
            <w:tcW w:w="2933" w:type="dxa"/>
          </w:tcPr>
          <w:p w:rsidR="00D10C33" w:rsidRPr="00A75E30" w:rsidRDefault="00D10C33" w:rsidP="00100938">
            <w:pPr>
              <w:snapToGrid w:val="0"/>
              <w:ind w:left="271" w:hangingChars="113" w:hanging="271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>第六條  提出者辦理風險評估作業，應依附件二規定辦理風險溝通作業，以公開資訊、辦理說明會</w:t>
            </w:r>
            <w:r w:rsidR="004F0354" w:rsidRPr="00A75E30">
              <w:rPr>
                <w:rFonts w:ascii="標楷體" w:eastAsia="標楷體" w:hAnsi="標楷體" w:hint="eastAsia"/>
                <w:szCs w:val="24"/>
              </w:rPr>
              <w:t>、</w:t>
            </w:r>
            <w:r w:rsidRPr="00A75E30">
              <w:rPr>
                <w:rFonts w:ascii="標楷體" w:eastAsia="標楷體" w:hAnsi="標楷體" w:hint="eastAsia"/>
                <w:szCs w:val="24"/>
              </w:rPr>
              <w:t>公聽會等方式，與利害關係者溝通，並依據污染場址特性採取適合之民眾及社區參與方式。</w:t>
            </w:r>
          </w:p>
          <w:p w:rsidR="00100938" w:rsidRPr="00A75E30" w:rsidRDefault="00AD0A79" w:rsidP="00A85804">
            <w:pPr>
              <w:ind w:leftChars="136" w:left="326" w:firstLineChars="100" w:firstLine="240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前項</w:t>
            </w:r>
            <w:r w:rsidRPr="00A75E30">
              <w:rPr>
                <w:rFonts w:ascii="標楷體" w:eastAsia="標楷體" w:hAnsi="標楷體" w:cs="Times New Roman"/>
                <w:szCs w:val="24"/>
                <w:u w:val="single"/>
              </w:rPr>
              <w:t>公聽會結束前，民眾得以網際網路之方式表達意見</w:t>
            </w:r>
            <w:r w:rsidR="00A85804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；</w:t>
            </w:r>
            <w:r w:rsidR="00C55E6E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直轄市、縣（市）主管機關</w:t>
            </w:r>
            <w:r w:rsidR="00100938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應</w:t>
            </w:r>
            <w:r w:rsidR="00901B18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公告</w:t>
            </w:r>
            <w:r w:rsidR="00100938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會議資訊</w:t>
            </w:r>
            <w:r w:rsidR="00B343E7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於主管機關網站</w:t>
            </w:r>
            <w:r w:rsidR="00901B18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，</w:t>
            </w:r>
            <w:proofErr w:type="gramStart"/>
            <w:r w:rsidR="00100938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併</w:t>
            </w:r>
            <w:proofErr w:type="gramEnd"/>
            <w:r w:rsidR="00100938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同提供會議資料，</w:t>
            </w:r>
            <w:r w:rsidR="000C359F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並</w:t>
            </w:r>
            <w:r w:rsidR="0084608A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得</w:t>
            </w:r>
            <w:r w:rsidR="00901B18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要求提出者</w:t>
            </w:r>
            <w:r w:rsidR="0084608A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協助答</w:t>
            </w:r>
            <w:r w:rsidR="00447FAC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復</w:t>
            </w:r>
            <w:r w:rsidR="0084608A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說明</w:t>
            </w:r>
            <w:r w:rsidR="00100938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。</w:t>
            </w:r>
          </w:p>
          <w:p w:rsidR="00D10C33" w:rsidRPr="00A75E30" w:rsidRDefault="00D10C33" w:rsidP="004F0354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 xml:space="preserve">  提出者應依民眾互動情形或主管機關之要求，調整參與方式與程度，並適時修正評估計畫書。</w:t>
            </w:r>
          </w:p>
        </w:tc>
        <w:tc>
          <w:tcPr>
            <w:tcW w:w="2932" w:type="dxa"/>
          </w:tcPr>
          <w:p w:rsidR="00D10C33" w:rsidRPr="00A75E30" w:rsidRDefault="00D10C33" w:rsidP="00100938">
            <w:pPr>
              <w:snapToGrid w:val="0"/>
              <w:ind w:left="271" w:hangingChars="113" w:hanging="271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>第六條   提出者辦理風險評估作業，應依附件二規定辦理風險溝通作業，以公開資訊、辦理說明會或公聽會等方式，與利害關係者溝通，並依據污染場址特性採取適合之民眾及社區參與方式。</w:t>
            </w:r>
          </w:p>
          <w:p w:rsidR="00D10C33" w:rsidRPr="00A75E30" w:rsidRDefault="00D10C33" w:rsidP="004F0354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 xml:space="preserve">  提出者應依民眾互動情形或主管機關之要求，調整參與方式與程度，並適時修正評估計畫書。</w:t>
            </w:r>
          </w:p>
        </w:tc>
        <w:tc>
          <w:tcPr>
            <w:tcW w:w="2657" w:type="dxa"/>
          </w:tcPr>
          <w:p w:rsidR="00D10C33" w:rsidRPr="00A75E30" w:rsidRDefault="00D10C33" w:rsidP="004F03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>為廣泛建立民眾參與管道，</w:t>
            </w:r>
            <w:proofErr w:type="gramStart"/>
            <w:r w:rsidRPr="00A75E30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Pr="00A75E30">
              <w:rPr>
                <w:rFonts w:ascii="標楷體" w:eastAsia="標楷體" w:hAnsi="標楷體" w:hint="eastAsia"/>
                <w:szCs w:val="24"/>
              </w:rPr>
              <w:t>增列網際網路參與方式，以期擴大網路多元參與、強化公民參與機制。</w:t>
            </w:r>
          </w:p>
        </w:tc>
      </w:tr>
      <w:tr w:rsidR="00D10C33" w:rsidRPr="00A75E30" w:rsidTr="00D10C33">
        <w:tc>
          <w:tcPr>
            <w:tcW w:w="2933" w:type="dxa"/>
          </w:tcPr>
          <w:p w:rsidR="00D10C33" w:rsidRPr="00A75E30" w:rsidRDefault="00D10C33" w:rsidP="00100938">
            <w:pPr>
              <w:snapToGrid w:val="0"/>
              <w:ind w:left="271" w:hangingChars="113" w:hanging="271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>第九條  直轄市、縣（市）主管機關於收到風險評估報告後三十日內，應會同中央主管機關，邀請參與第五條第二項審查之專家、學者、相關機關、團體之代表及其他利害關係者等舉行公聽會，並於公聽會辦理後三十日內作成紀錄，</w:t>
            </w:r>
            <w:proofErr w:type="gramStart"/>
            <w:r w:rsidRPr="00A75E30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75E30">
              <w:rPr>
                <w:rFonts w:ascii="標楷體" w:eastAsia="標楷體" w:hAnsi="標楷體" w:hint="eastAsia"/>
                <w:szCs w:val="24"/>
              </w:rPr>
              <w:t>同風險評估報告送交中央主管機關。</w:t>
            </w:r>
          </w:p>
          <w:p w:rsidR="004F0354" w:rsidRPr="00A75E30" w:rsidRDefault="00447FAC" w:rsidP="00100938">
            <w:pPr>
              <w:ind w:leftChars="136" w:left="326" w:firstLineChars="100" w:firstLine="24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前項</w:t>
            </w:r>
            <w:r w:rsidRPr="00A75E30">
              <w:rPr>
                <w:rFonts w:ascii="標楷體" w:eastAsia="標楷體" w:hAnsi="標楷體" w:cs="Times New Roman"/>
                <w:szCs w:val="24"/>
                <w:u w:val="single"/>
              </w:rPr>
              <w:t>公聽會結束前，民眾得以網際網路之方式表達意見</w:t>
            </w:r>
            <w:r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，</w:t>
            </w:r>
            <w:r w:rsidR="00B343E7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直轄</w:t>
            </w:r>
            <w:r w:rsidR="00B343E7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lastRenderedPageBreak/>
              <w:t>市、縣（市）主管機關針對網際網路方式陳述之意見，亦應納入前項紀錄</w:t>
            </w:r>
            <w:r w:rsidR="004F0354" w:rsidRPr="00A75E30">
              <w:rPr>
                <w:rFonts w:ascii="標楷體" w:eastAsia="標楷體" w:hAnsi="標楷體" w:cs="Times New Roman" w:hint="eastAsia"/>
                <w:szCs w:val="24"/>
                <w:u w:val="single"/>
              </w:rPr>
              <w:t>。</w:t>
            </w:r>
          </w:p>
          <w:p w:rsidR="00D10C33" w:rsidRPr="00A75E30" w:rsidRDefault="00D10C33" w:rsidP="004F0354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 xml:space="preserve">  中央主管機關於受理直轄市、縣（市）主管機關轉送之風險評估報告後應先進行書面審查，審查結果有資料不符合附表</w:t>
            </w:r>
            <w:proofErr w:type="gramStart"/>
            <w:r w:rsidRPr="00A75E3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75E30">
              <w:rPr>
                <w:rFonts w:ascii="標楷體" w:eastAsia="標楷體" w:hAnsi="標楷體" w:hint="eastAsia"/>
                <w:szCs w:val="24"/>
              </w:rPr>
              <w:t>及附表二規定者，中央主管機關得命限期補正，補正次數以一次為限，補正日數不得超過</w:t>
            </w:r>
            <w:proofErr w:type="gramStart"/>
            <w:r w:rsidRPr="00A75E30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A75E30">
              <w:rPr>
                <w:rFonts w:ascii="標楷體" w:eastAsia="標楷體" w:hAnsi="標楷體" w:hint="eastAsia"/>
                <w:szCs w:val="24"/>
              </w:rPr>
              <w:t>十日；逾期未補正者，中央主管機關應不予核定其整治目標。</w:t>
            </w:r>
          </w:p>
          <w:p w:rsidR="00D10C33" w:rsidRPr="00A75E30" w:rsidRDefault="00D10C33" w:rsidP="004F0354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 xml:space="preserve">  風險評估報告經中央主管機關審查符合書面審查表者，由中央主管機關依評估方法之規範進行實體審查，並召開審查會議命提出者列席說明。審查委員由中央主管機關遴選，其中曾參與公聽會之專家、學者及相關機關、團體代表應不得少於審查委員總人數二分之一。</w:t>
            </w:r>
          </w:p>
          <w:p w:rsidR="00D10C33" w:rsidRPr="00A75E30" w:rsidRDefault="00D10C33" w:rsidP="004F0354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 xml:space="preserve">  實體審查結果內容不符合附表三及附表四規定者，中央主管機關得命限期補正，補正次數以二次為限，補正總日數不得超過九十日；逾期未補正者，中央主管機關應不予核定其整治目標。</w:t>
            </w:r>
          </w:p>
        </w:tc>
        <w:tc>
          <w:tcPr>
            <w:tcW w:w="2932" w:type="dxa"/>
          </w:tcPr>
          <w:p w:rsidR="00D10C33" w:rsidRPr="00A75E30" w:rsidRDefault="00D10C33" w:rsidP="00100938">
            <w:pPr>
              <w:snapToGrid w:val="0"/>
              <w:ind w:left="271" w:hangingChars="113" w:hanging="271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lastRenderedPageBreak/>
              <w:t>第九條   直轄市、縣（市）主管機關於收到風險評估報告後三十日內，應會同中央主管機關，邀請參與第五條第二項審查之專家、學者、相關機關、團體之代表及其他利害關係者等舉行公聽會，並於公聽會辦理後三十日內作成紀錄，</w:t>
            </w:r>
            <w:proofErr w:type="gramStart"/>
            <w:r w:rsidRPr="00A75E30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75E30">
              <w:rPr>
                <w:rFonts w:ascii="標楷體" w:eastAsia="標楷體" w:hAnsi="標楷體" w:hint="eastAsia"/>
                <w:szCs w:val="24"/>
              </w:rPr>
              <w:t>同風險評估報告送交中央主管機關。</w:t>
            </w:r>
          </w:p>
          <w:p w:rsidR="00D10C33" w:rsidRPr="00A75E30" w:rsidRDefault="00D10C33" w:rsidP="004F0354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 xml:space="preserve">  中央主管機關於受理直轄市、縣（市）主管機關轉送之風險評</w:t>
            </w:r>
            <w:r w:rsidRPr="00A75E30">
              <w:rPr>
                <w:rFonts w:ascii="標楷體" w:eastAsia="標楷體" w:hAnsi="標楷體" w:hint="eastAsia"/>
                <w:szCs w:val="24"/>
              </w:rPr>
              <w:lastRenderedPageBreak/>
              <w:t>估報告後應先進行書面審查，審查結果有資料不符合附表</w:t>
            </w:r>
            <w:proofErr w:type="gramStart"/>
            <w:r w:rsidRPr="00A75E3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75E30">
              <w:rPr>
                <w:rFonts w:ascii="標楷體" w:eastAsia="標楷體" w:hAnsi="標楷體" w:hint="eastAsia"/>
                <w:szCs w:val="24"/>
              </w:rPr>
              <w:t>及附表二規定者，中央主管機關得命限期補正，補正次數以一次為限，補正日數不得超過</w:t>
            </w:r>
            <w:proofErr w:type="gramStart"/>
            <w:r w:rsidRPr="00A75E30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A75E30">
              <w:rPr>
                <w:rFonts w:ascii="標楷體" w:eastAsia="標楷體" w:hAnsi="標楷體" w:hint="eastAsia"/>
                <w:szCs w:val="24"/>
              </w:rPr>
              <w:t>十日；逾期未補正者，中央主管機關應不予核定其整治目標。</w:t>
            </w:r>
          </w:p>
          <w:p w:rsidR="00D10C33" w:rsidRPr="00A75E30" w:rsidRDefault="00D10C33" w:rsidP="004F0354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 xml:space="preserve">  風險評估報告經中央主管機關審查符合書面審查表者，由中央主管機關依評估方法之規範進行實體審查，並召開審查會議命提出者列席說明。審查委員由中央主管機關遴選，其中曾參與公聽會之專家、學者及相關機關、團體代表應不得少於審查委員總人數二分之一。</w:t>
            </w:r>
          </w:p>
          <w:p w:rsidR="00D10C33" w:rsidRPr="00A75E30" w:rsidRDefault="00D10C33" w:rsidP="004F0354">
            <w:pPr>
              <w:snapToGrid w:val="0"/>
              <w:ind w:leftChars="132" w:left="317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t xml:space="preserve">  實體審查結果內容不符合附表三及附表四規定者，中央主管機關得命限期補正，補正次數以二次為限，補正總日數不得超過九十日；逾期未補正者，中央主管機關應不予核定其整治目標。</w:t>
            </w:r>
          </w:p>
        </w:tc>
        <w:tc>
          <w:tcPr>
            <w:tcW w:w="2657" w:type="dxa"/>
          </w:tcPr>
          <w:p w:rsidR="00D10C33" w:rsidRPr="00A75E30" w:rsidRDefault="00D10C33" w:rsidP="004F03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75E30">
              <w:rPr>
                <w:rFonts w:ascii="標楷體" w:eastAsia="標楷體" w:hAnsi="標楷體" w:hint="eastAsia"/>
                <w:szCs w:val="24"/>
              </w:rPr>
              <w:lastRenderedPageBreak/>
              <w:t>為廣泛建立民眾參與管道，</w:t>
            </w:r>
            <w:proofErr w:type="gramStart"/>
            <w:r w:rsidRPr="00A75E30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Pr="00A75E30">
              <w:rPr>
                <w:rFonts w:ascii="標楷體" w:eastAsia="標楷體" w:hAnsi="標楷體" w:hint="eastAsia"/>
                <w:szCs w:val="24"/>
              </w:rPr>
              <w:t>增列網際網路參與方式，以期擴大網路多元參與、強化公民參與機制。</w:t>
            </w:r>
          </w:p>
        </w:tc>
      </w:tr>
    </w:tbl>
    <w:p w:rsidR="008B3049" w:rsidRPr="00A75E30" w:rsidRDefault="008B3049">
      <w:pPr>
        <w:rPr>
          <w:rFonts w:ascii="標楷體" w:eastAsia="標楷體" w:hAnsi="標楷體"/>
          <w:sz w:val="28"/>
          <w:szCs w:val="28"/>
        </w:rPr>
      </w:pPr>
    </w:p>
    <w:sectPr w:rsidR="008B3049" w:rsidRPr="00A75E30" w:rsidSect="007B30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206" w:rsidRDefault="006B5206" w:rsidP="00D10C33">
      <w:r>
        <w:separator/>
      </w:r>
    </w:p>
  </w:endnote>
  <w:endnote w:type="continuationSeparator" w:id="0">
    <w:p w:rsidR="006B5206" w:rsidRDefault="006B5206" w:rsidP="00D10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206" w:rsidRDefault="006B5206" w:rsidP="00D10C33">
      <w:r>
        <w:separator/>
      </w:r>
    </w:p>
  </w:footnote>
  <w:footnote w:type="continuationSeparator" w:id="0">
    <w:p w:rsidR="006B5206" w:rsidRDefault="006B5206" w:rsidP="00D10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75C6"/>
    <w:multiLevelType w:val="hybridMultilevel"/>
    <w:tmpl w:val="15CEDB2A"/>
    <w:lvl w:ilvl="0" w:tplc="7D1644F0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049"/>
    <w:rsid w:val="00064E9B"/>
    <w:rsid w:val="00093699"/>
    <w:rsid w:val="000C359F"/>
    <w:rsid w:val="00100938"/>
    <w:rsid w:val="00123157"/>
    <w:rsid w:val="00132BE9"/>
    <w:rsid w:val="001D1B21"/>
    <w:rsid w:val="001D303A"/>
    <w:rsid w:val="00221074"/>
    <w:rsid w:val="002323E0"/>
    <w:rsid w:val="0024178E"/>
    <w:rsid w:val="00245E93"/>
    <w:rsid w:val="00447FAC"/>
    <w:rsid w:val="004F0354"/>
    <w:rsid w:val="005161E4"/>
    <w:rsid w:val="00546F9F"/>
    <w:rsid w:val="00584A77"/>
    <w:rsid w:val="005D5426"/>
    <w:rsid w:val="0061407A"/>
    <w:rsid w:val="00657CC6"/>
    <w:rsid w:val="00691DB3"/>
    <w:rsid w:val="006B5206"/>
    <w:rsid w:val="006D1860"/>
    <w:rsid w:val="007460B3"/>
    <w:rsid w:val="007962A0"/>
    <w:rsid w:val="007A73FA"/>
    <w:rsid w:val="007B3098"/>
    <w:rsid w:val="008138D8"/>
    <w:rsid w:val="0082686D"/>
    <w:rsid w:val="00833915"/>
    <w:rsid w:val="0083504C"/>
    <w:rsid w:val="0084608A"/>
    <w:rsid w:val="00871F57"/>
    <w:rsid w:val="008B3049"/>
    <w:rsid w:val="008E26CE"/>
    <w:rsid w:val="00901B18"/>
    <w:rsid w:val="0095687E"/>
    <w:rsid w:val="00965854"/>
    <w:rsid w:val="00A75E30"/>
    <w:rsid w:val="00A85804"/>
    <w:rsid w:val="00AD0A79"/>
    <w:rsid w:val="00B343E7"/>
    <w:rsid w:val="00B833CC"/>
    <w:rsid w:val="00BA0FF1"/>
    <w:rsid w:val="00C216F8"/>
    <w:rsid w:val="00C526B7"/>
    <w:rsid w:val="00C55E6E"/>
    <w:rsid w:val="00CC4E7C"/>
    <w:rsid w:val="00D10C33"/>
    <w:rsid w:val="00D20B43"/>
    <w:rsid w:val="00D642BA"/>
    <w:rsid w:val="00E201E9"/>
    <w:rsid w:val="00E32057"/>
    <w:rsid w:val="00F10AD4"/>
    <w:rsid w:val="00F6795A"/>
    <w:rsid w:val="00FD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0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10C3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10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10C33"/>
    <w:rPr>
      <w:sz w:val="20"/>
      <w:szCs w:val="20"/>
    </w:rPr>
  </w:style>
  <w:style w:type="paragraph" w:styleId="a8">
    <w:name w:val="Body Text Indent"/>
    <w:basedOn w:val="a"/>
    <w:link w:val="a9"/>
    <w:rsid w:val="005161E4"/>
    <w:pPr>
      <w:spacing w:line="480" w:lineRule="exact"/>
      <w:ind w:left="1800" w:hangingChars="500" w:hanging="1800"/>
      <w:jc w:val="both"/>
    </w:pPr>
    <w:rPr>
      <w:rFonts w:ascii="標楷體" w:eastAsia="標楷體" w:hAnsi="標楷體" w:cs="Times New Roman"/>
      <w:sz w:val="36"/>
      <w:szCs w:val="24"/>
    </w:rPr>
  </w:style>
  <w:style w:type="character" w:customStyle="1" w:styleId="a9">
    <w:name w:val="本文縮排 字元"/>
    <w:basedOn w:val="a0"/>
    <w:link w:val="a8"/>
    <w:rsid w:val="005161E4"/>
    <w:rPr>
      <w:rFonts w:ascii="標楷體" w:eastAsia="標楷體" w:hAnsi="標楷體" w:cs="Times New Roman"/>
      <w:sz w:val="3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71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71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253</Words>
  <Characters>1444</Characters>
  <Application>Microsoft Office Word</Application>
  <DocSecurity>0</DocSecurity>
  <Lines>12</Lines>
  <Paragraphs>3</Paragraphs>
  <ScaleCrop>false</ScaleCrop>
  <Company>SINOTECH.LTD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wchsu</cp:lastModifiedBy>
  <cp:revision>13</cp:revision>
  <cp:lastPrinted>2015-10-29T02:52:00Z</cp:lastPrinted>
  <dcterms:created xsi:type="dcterms:W3CDTF">2015-07-27T03:25:00Z</dcterms:created>
  <dcterms:modified xsi:type="dcterms:W3CDTF">2015-10-29T03:22:00Z</dcterms:modified>
</cp:coreProperties>
</file>