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914" w:rsidRPr="00896973" w:rsidRDefault="00DE1078" w:rsidP="00553D6E">
      <w:pPr>
        <w:keepNext/>
        <w:keepLines/>
        <w:pageBreakBefore/>
        <w:widowControl/>
        <w:snapToGrid w:val="0"/>
        <w:spacing w:beforeLines="50" w:afterLines="50"/>
        <w:jc w:val="both"/>
        <w:rPr>
          <w:rFonts w:eastAsia="標楷體"/>
          <w:sz w:val="32"/>
          <w:szCs w:val="28"/>
        </w:rPr>
      </w:pPr>
      <w:r w:rsidRPr="00896973">
        <w:rPr>
          <w:rFonts w:eastAsia="標楷體" w:hAnsi="標楷體" w:hint="eastAsia"/>
          <w:sz w:val="40"/>
          <w:szCs w:val="40"/>
        </w:rPr>
        <w:t>辦理土壤及地下水污染場址整治目標公聽會作業準則第二條修正草案總說明</w:t>
      </w:r>
    </w:p>
    <w:p w:rsidR="00C37D62" w:rsidRPr="00896973" w:rsidRDefault="00DE1078" w:rsidP="006A2919">
      <w:pPr>
        <w:widowControl/>
        <w:spacing w:line="460" w:lineRule="exact"/>
        <w:ind w:firstLineChars="200" w:firstLine="560"/>
        <w:jc w:val="both"/>
        <w:rPr>
          <w:rFonts w:ascii="標楷體" w:eastAsia="標楷體" w:hAnsi="標楷體"/>
          <w:kern w:val="0"/>
          <w:sz w:val="28"/>
          <w:szCs w:val="28"/>
        </w:rPr>
      </w:pPr>
      <w:proofErr w:type="gramStart"/>
      <w:r w:rsidRPr="00896973">
        <w:rPr>
          <w:rFonts w:ascii="標楷體" w:eastAsia="標楷體" w:hAnsi="標楷體" w:hint="eastAsia"/>
          <w:kern w:val="0"/>
          <w:sz w:val="28"/>
          <w:szCs w:val="28"/>
        </w:rPr>
        <w:t>鑑</w:t>
      </w:r>
      <w:proofErr w:type="gramEnd"/>
      <w:r w:rsidRPr="00896973">
        <w:rPr>
          <w:rFonts w:ascii="標楷體" w:eastAsia="標楷體" w:hAnsi="標楷體" w:hint="eastAsia"/>
          <w:kern w:val="0"/>
          <w:sz w:val="28"/>
          <w:szCs w:val="28"/>
        </w:rPr>
        <w:t>於科技與網路的快速發展及應用，為廣泛建立公民參與管道，有效凝聚社會共識，</w:t>
      </w:r>
      <w:proofErr w:type="gramStart"/>
      <w:r w:rsidRPr="00896973">
        <w:rPr>
          <w:rFonts w:ascii="標楷體" w:eastAsia="標楷體" w:hAnsi="標楷體" w:hint="eastAsia"/>
          <w:kern w:val="0"/>
          <w:sz w:val="28"/>
          <w:szCs w:val="28"/>
        </w:rPr>
        <w:t>爰</w:t>
      </w:r>
      <w:proofErr w:type="gramEnd"/>
      <w:r w:rsidR="006A2919" w:rsidRPr="00896973">
        <w:rPr>
          <w:rFonts w:ascii="標楷體" w:eastAsia="標楷體" w:hAnsi="標楷體" w:hint="eastAsia"/>
          <w:kern w:val="0"/>
          <w:sz w:val="28"/>
          <w:szCs w:val="28"/>
        </w:rPr>
        <w:t>於第二條增訂網際網路參與方式，以其擴大網路多元參與，強化公民參與機制。</w:t>
      </w:r>
    </w:p>
    <w:p w:rsidR="00C37D62" w:rsidRPr="00896973" w:rsidRDefault="00C37D62" w:rsidP="00796914">
      <w:pPr>
        <w:pStyle w:val="a3"/>
        <w:spacing w:line="240" w:lineRule="auto"/>
        <w:ind w:left="0" w:firstLineChars="0" w:firstLine="0"/>
        <w:rPr>
          <w:rFonts w:ascii="Times New Roman" w:hAnsi="Times New Roman"/>
          <w:sz w:val="28"/>
          <w:szCs w:val="28"/>
        </w:rPr>
      </w:pPr>
    </w:p>
    <w:p w:rsidR="003C6861" w:rsidRPr="00896973" w:rsidRDefault="003C6861" w:rsidP="00DE1078">
      <w:pPr>
        <w:rPr>
          <w:rFonts w:ascii="標楷體" w:eastAsia="標楷體" w:hAnsi="標楷體"/>
          <w:sz w:val="28"/>
          <w:szCs w:val="28"/>
        </w:rPr>
      </w:pPr>
    </w:p>
    <w:p w:rsidR="003C6861" w:rsidRPr="00896973" w:rsidRDefault="003C6861">
      <w:pPr>
        <w:widowControl/>
        <w:rPr>
          <w:rFonts w:ascii="標楷體" w:eastAsia="標楷體" w:hAnsi="標楷體"/>
          <w:sz w:val="28"/>
          <w:szCs w:val="28"/>
        </w:rPr>
      </w:pPr>
      <w:r w:rsidRPr="00896973">
        <w:rPr>
          <w:rFonts w:ascii="標楷體" w:eastAsia="標楷體" w:hAnsi="標楷體"/>
          <w:sz w:val="28"/>
          <w:szCs w:val="28"/>
        </w:rPr>
        <w:br w:type="page"/>
      </w:r>
    </w:p>
    <w:p w:rsidR="003C6861" w:rsidRPr="00896973" w:rsidRDefault="003C6861" w:rsidP="003C6861">
      <w:r w:rsidRPr="00896973">
        <w:rPr>
          <w:rFonts w:eastAsia="標楷體" w:hint="eastAsia"/>
          <w:sz w:val="40"/>
        </w:rPr>
        <w:lastRenderedPageBreak/>
        <w:t>辦理土壤及地下水污染場址整治目標公聽會作業準則第二條修正</w:t>
      </w:r>
      <w:r w:rsidR="003D2DF5" w:rsidRPr="00896973">
        <w:rPr>
          <w:rFonts w:eastAsia="標楷體" w:hint="eastAsia"/>
          <w:sz w:val="40"/>
        </w:rPr>
        <w:t>草案</w:t>
      </w:r>
      <w:r w:rsidRPr="00896973">
        <w:rPr>
          <w:rFonts w:eastAsia="標楷體" w:hint="eastAsia"/>
          <w:sz w:val="40"/>
        </w:rPr>
        <w:t>條文對照表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787"/>
        <w:gridCol w:w="2787"/>
        <w:gridCol w:w="2788"/>
      </w:tblGrid>
      <w:tr w:rsidR="003C6861" w:rsidRPr="00896973" w:rsidTr="00945C5B">
        <w:tc>
          <w:tcPr>
            <w:tcW w:w="2787" w:type="dxa"/>
          </w:tcPr>
          <w:p w:rsidR="003C6861" w:rsidRPr="00896973" w:rsidRDefault="003C6861" w:rsidP="00945C5B">
            <w:pPr>
              <w:jc w:val="center"/>
              <w:rPr>
                <w:rFonts w:eastAsia="標楷體"/>
              </w:rPr>
            </w:pPr>
            <w:r w:rsidRPr="00896973">
              <w:rPr>
                <w:rFonts w:eastAsia="標楷體"/>
              </w:rPr>
              <w:t>修正條文</w:t>
            </w:r>
          </w:p>
        </w:tc>
        <w:tc>
          <w:tcPr>
            <w:tcW w:w="2787" w:type="dxa"/>
          </w:tcPr>
          <w:p w:rsidR="003C6861" w:rsidRPr="00896973" w:rsidRDefault="003C6861" w:rsidP="00945C5B">
            <w:pPr>
              <w:jc w:val="center"/>
              <w:rPr>
                <w:rFonts w:eastAsia="標楷體"/>
              </w:rPr>
            </w:pPr>
            <w:r w:rsidRPr="00896973">
              <w:rPr>
                <w:rFonts w:eastAsia="標楷體"/>
              </w:rPr>
              <w:t>現行條文</w:t>
            </w:r>
          </w:p>
        </w:tc>
        <w:tc>
          <w:tcPr>
            <w:tcW w:w="2788" w:type="dxa"/>
          </w:tcPr>
          <w:p w:rsidR="003C6861" w:rsidRPr="00896973" w:rsidRDefault="003C6861" w:rsidP="00945C5B">
            <w:pPr>
              <w:jc w:val="center"/>
              <w:rPr>
                <w:rFonts w:eastAsia="標楷體"/>
              </w:rPr>
            </w:pPr>
            <w:r w:rsidRPr="00896973">
              <w:rPr>
                <w:rFonts w:eastAsia="標楷體"/>
              </w:rPr>
              <w:t>說明</w:t>
            </w:r>
          </w:p>
        </w:tc>
      </w:tr>
      <w:tr w:rsidR="003C6861" w:rsidRPr="00896973" w:rsidTr="00945C5B">
        <w:tc>
          <w:tcPr>
            <w:tcW w:w="2787" w:type="dxa"/>
          </w:tcPr>
          <w:p w:rsidR="003C6861" w:rsidRPr="00896973" w:rsidRDefault="003C6861" w:rsidP="00945C5B">
            <w:pPr>
              <w:ind w:left="295" w:hangingChars="123" w:hanging="295"/>
              <w:jc w:val="both"/>
              <w:rPr>
                <w:rFonts w:ascii="標楷體" w:eastAsia="標楷體" w:hAnsi="標楷體"/>
              </w:rPr>
            </w:pPr>
            <w:r w:rsidRPr="00896973">
              <w:rPr>
                <w:rFonts w:ascii="標楷體" w:eastAsia="標楷體" w:hAnsi="標楷體" w:hint="eastAsia"/>
              </w:rPr>
              <w:t>第二條  整治計畫提出者依本法第二十二條第一項提出整治目標，應由直轄市、縣（市）主管機關召開公聽會。整治計畫提出者依本法第二十二條第二項提出整治目標，應由中央主管機關召開公聽會。</w:t>
            </w:r>
          </w:p>
          <w:p w:rsidR="003C6861" w:rsidRPr="00896973" w:rsidRDefault="003C6861" w:rsidP="003C6861">
            <w:pPr>
              <w:ind w:leftChars="136" w:left="326" w:firstLineChars="100" w:firstLine="240"/>
              <w:jc w:val="both"/>
              <w:rPr>
                <w:rFonts w:ascii="標楷體" w:eastAsia="標楷體" w:hAnsi="標楷體"/>
              </w:rPr>
            </w:pPr>
            <w:r w:rsidRPr="00896973">
              <w:rPr>
                <w:rFonts w:ascii="標楷體" w:eastAsia="標楷體" w:hAnsi="標楷體" w:hint="eastAsia"/>
              </w:rPr>
              <w:t xml:space="preserve">主管機關應依實際情況需要，於場址所在地或附近選擇適當地點舉行公聽會，於公聽會舉行十日前至公聽會當日，以書面或公告方式載明下列事項，公布於主管機關網站、村（里）辦公室或其他適當地點： </w:t>
            </w:r>
          </w:p>
          <w:p w:rsidR="003C6861" w:rsidRPr="00896973" w:rsidRDefault="003C6861" w:rsidP="00945C5B">
            <w:pPr>
              <w:ind w:leftChars="142" w:left="845" w:hangingChars="210" w:hanging="504"/>
              <w:jc w:val="both"/>
              <w:rPr>
                <w:rFonts w:ascii="標楷體" w:eastAsia="標楷體" w:hAnsi="標楷體"/>
              </w:rPr>
            </w:pPr>
            <w:r w:rsidRPr="00896973">
              <w:rPr>
                <w:rFonts w:ascii="標楷體" w:eastAsia="標楷體" w:hAnsi="標楷體" w:hint="eastAsia"/>
              </w:rPr>
              <w:t>一、事由及整治場址位置。</w:t>
            </w:r>
          </w:p>
          <w:p w:rsidR="003C6861" w:rsidRPr="00896973" w:rsidRDefault="003C6861" w:rsidP="00945C5B">
            <w:pPr>
              <w:ind w:leftChars="142" w:left="845" w:hangingChars="210" w:hanging="504"/>
              <w:jc w:val="both"/>
              <w:rPr>
                <w:rFonts w:ascii="標楷體" w:eastAsia="標楷體" w:hAnsi="標楷體"/>
              </w:rPr>
            </w:pPr>
            <w:r w:rsidRPr="00896973">
              <w:rPr>
                <w:rFonts w:ascii="標楷體" w:eastAsia="標楷體" w:hAnsi="標楷體" w:hint="eastAsia"/>
              </w:rPr>
              <w:t>二、時間及地點。</w:t>
            </w:r>
          </w:p>
          <w:p w:rsidR="003C6861" w:rsidRPr="00896973" w:rsidRDefault="003C6861" w:rsidP="00945C5B">
            <w:pPr>
              <w:ind w:leftChars="142" w:left="845" w:hangingChars="210" w:hanging="504"/>
              <w:jc w:val="both"/>
              <w:rPr>
                <w:rFonts w:ascii="標楷體" w:eastAsia="標楷體" w:hAnsi="標楷體"/>
              </w:rPr>
            </w:pPr>
            <w:r w:rsidRPr="00896973">
              <w:rPr>
                <w:rFonts w:ascii="標楷體" w:eastAsia="標楷體" w:hAnsi="標楷體" w:hint="eastAsia"/>
              </w:rPr>
              <w:t>三、其他事項。</w:t>
            </w:r>
          </w:p>
          <w:p w:rsidR="003C6861" w:rsidRPr="00896973" w:rsidRDefault="003C6861" w:rsidP="003C6861">
            <w:pPr>
              <w:ind w:leftChars="136" w:left="326" w:firstLineChars="100" w:firstLine="240"/>
              <w:jc w:val="both"/>
              <w:rPr>
                <w:rFonts w:ascii="標楷體" w:eastAsia="標楷體" w:hAnsi="標楷體"/>
              </w:rPr>
            </w:pPr>
            <w:r w:rsidRPr="00896973">
              <w:rPr>
                <w:rFonts w:ascii="標楷體" w:eastAsia="標楷體" w:hAnsi="標楷體" w:hint="eastAsia"/>
              </w:rPr>
              <w:t>主管機關應邀請專家、學者、相關機關、團體出席公聽會，並邀請整治計畫提出者列席，且優先開放鄰近居民參與。</w:t>
            </w:r>
          </w:p>
          <w:p w:rsidR="003C6861" w:rsidRPr="00896973" w:rsidRDefault="003C6861" w:rsidP="003C6861">
            <w:pPr>
              <w:ind w:leftChars="136" w:left="326" w:firstLineChars="100" w:firstLine="240"/>
              <w:jc w:val="both"/>
              <w:rPr>
                <w:rFonts w:ascii="標楷體" w:eastAsia="標楷體" w:hAnsi="標楷體"/>
              </w:rPr>
            </w:pPr>
            <w:r w:rsidRPr="00896973">
              <w:rPr>
                <w:rFonts w:ascii="標楷體" w:eastAsia="標楷體" w:hAnsi="標楷體" w:hint="eastAsia"/>
              </w:rPr>
              <w:t>前項鄰近居民之定義，係指居住在整治</w:t>
            </w:r>
            <w:proofErr w:type="gramStart"/>
            <w:r w:rsidRPr="00896973">
              <w:rPr>
                <w:rFonts w:ascii="標楷體" w:eastAsia="標楷體" w:hAnsi="標楷體" w:hint="eastAsia"/>
              </w:rPr>
              <w:t>場址周界</w:t>
            </w:r>
            <w:proofErr w:type="gramEnd"/>
            <w:r w:rsidRPr="00896973">
              <w:rPr>
                <w:rFonts w:ascii="標楷體" w:eastAsia="標楷體" w:hAnsi="標楷體" w:hint="eastAsia"/>
              </w:rPr>
              <w:t>一公里範圍內者，必要時，主管機關</w:t>
            </w:r>
            <w:r w:rsidRPr="00896973">
              <w:rPr>
                <w:rFonts w:ascii="標楷體" w:eastAsia="標楷體" w:hAnsi="標楷體" w:hint="eastAsia"/>
              </w:rPr>
              <w:lastRenderedPageBreak/>
              <w:t>得擴大其範圍。</w:t>
            </w:r>
          </w:p>
          <w:p w:rsidR="006A2919" w:rsidRPr="00896973" w:rsidRDefault="006A2919" w:rsidP="00D770A0">
            <w:pPr>
              <w:ind w:leftChars="136" w:left="326" w:firstLineChars="100" w:firstLine="240"/>
              <w:jc w:val="both"/>
              <w:rPr>
                <w:rFonts w:ascii="標楷體" w:eastAsia="標楷體" w:hAnsi="標楷體"/>
                <w:u w:val="single"/>
              </w:rPr>
            </w:pPr>
            <w:r w:rsidRPr="00896973">
              <w:rPr>
                <w:rFonts w:ascii="標楷體" w:eastAsia="標楷體" w:hAnsi="標楷體" w:hint="eastAsia"/>
                <w:u w:val="single"/>
              </w:rPr>
              <w:t>第二項</w:t>
            </w:r>
            <w:r w:rsidR="00AF0450" w:rsidRPr="00896973">
              <w:rPr>
                <w:rFonts w:ascii="標楷體" w:eastAsia="標楷體" w:hAnsi="標楷體" w:hint="eastAsia"/>
                <w:u w:val="single"/>
              </w:rPr>
              <w:t>之公聽會結束前，民眾得以網際網路之方式表達意見；主管機關應於會議紀錄公告主管機關網站時，答復網路民眾之意見，並依第十二條規定辦理。</w:t>
            </w:r>
          </w:p>
        </w:tc>
        <w:tc>
          <w:tcPr>
            <w:tcW w:w="2787" w:type="dxa"/>
          </w:tcPr>
          <w:p w:rsidR="003C6861" w:rsidRPr="00896973" w:rsidRDefault="003C6861" w:rsidP="00945C5B">
            <w:pPr>
              <w:ind w:left="295" w:hangingChars="123" w:hanging="295"/>
              <w:jc w:val="both"/>
              <w:rPr>
                <w:rFonts w:ascii="標楷體" w:eastAsia="標楷體" w:hAnsi="標楷體"/>
              </w:rPr>
            </w:pPr>
            <w:r w:rsidRPr="00896973">
              <w:rPr>
                <w:rFonts w:ascii="標楷體" w:eastAsia="標楷體" w:hAnsi="標楷體" w:hint="eastAsia"/>
              </w:rPr>
              <w:lastRenderedPageBreak/>
              <w:t>第二條  整治計畫提出者依本法第二十二條第一項提出整治目標，應由直轄市、縣（市）主管機關召開公聽會。整治計畫提出者依本法第二十二條第二項提出整治目標，應由中央主管機關召開公聽會。</w:t>
            </w:r>
          </w:p>
          <w:p w:rsidR="003C6861" w:rsidRPr="00896973" w:rsidRDefault="003C6861" w:rsidP="003C6861">
            <w:pPr>
              <w:ind w:leftChars="136" w:left="326" w:firstLineChars="120" w:firstLine="288"/>
              <w:jc w:val="both"/>
              <w:rPr>
                <w:rFonts w:ascii="標楷體" w:eastAsia="標楷體" w:hAnsi="標楷體"/>
              </w:rPr>
            </w:pPr>
            <w:r w:rsidRPr="00896973">
              <w:rPr>
                <w:rFonts w:ascii="標楷體" w:eastAsia="標楷體" w:hAnsi="標楷體" w:hint="eastAsia"/>
              </w:rPr>
              <w:t>主管機關應依實際情況需要，於場址所在地或附近選擇適當地點舉行公聽會，並於公聽會舉行十日前至公聽會當日，以書面或公告方式載明下列事項，公布於主管機關網站、村（里）辦公室或其他適當地點：</w:t>
            </w:r>
          </w:p>
          <w:p w:rsidR="003C6861" w:rsidRPr="00896973" w:rsidRDefault="003C6861" w:rsidP="00945C5B">
            <w:pPr>
              <w:ind w:leftChars="142" w:left="845" w:hangingChars="210" w:hanging="504"/>
              <w:jc w:val="both"/>
              <w:rPr>
                <w:rFonts w:ascii="標楷體" w:eastAsia="標楷體" w:hAnsi="標楷體"/>
              </w:rPr>
            </w:pPr>
            <w:r w:rsidRPr="00896973">
              <w:rPr>
                <w:rFonts w:ascii="標楷體" w:eastAsia="標楷體" w:hAnsi="標楷體" w:hint="eastAsia"/>
              </w:rPr>
              <w:t>一、事由及整治場址位置。</w:t>
            </w:r>
          </w:p>
          <w:p w:rsidR="003C6861" w:rsidRPr="00896973" w:rsidRDefault="003C6861" w:rsidP="00945C5B">
            <w:pPr>
              <w:ind w:leftChars="142" w:left="845" w:hangingChars="210" w:hanging="504"/>
              <w:jc w:val="both"/>
              <w:rPr>
                <w:rFonts w:ascii="標楷體" w:eastAsia="標楷體" w:hAnsi="標楷體"/>
              </w:rPr>
            </w:pPr>
            <w:r w:rsidRPr="00896973">
              <w:rPr>
                <w:rFonts w:ascii="標楷體" w:eastAsia="標楷體" w:hAnsi="標楷體" w:hint="eastAsia"/>
              </w:rPr>
              <w:t>二、時間及地點。</w:t>
            </w:r>
          </w:p>
          <w:p w:rsidR="003C6861" w:rsidRPr="00896973" w:rsidRDefault="003C6861" w:rsidP="00945C5B">
            <w:pPr>
              <w:ind w:leftChars="142" w:left="845" w:hangingChars="210" w:hanging="504"/>
              <w:jc w:val="both"/>
              <w:rPr>
                <w:rFonts w:ascii="標楷體" w:eastAsia="標楷體" w:hAnsi="標楷體"/>
              </w:rPr>
            </w:pPr>
            <w:r w:rsidRPr="00896973">
              <w:rPr>
                <w:rFonts w:ascii="標楷體" w:eastAsia="標楷體" w:hAnsi="標楷體" w:hint="eastAsia"/>
              </w:rPr>
              <w:t>三、其他事項。</w:t>
            </w:r>
          </w:p>
          <w:p w:rsidR="003C6861" w:rsidRPr="00896973" w:rsidRDefault="003C6861" w:rsidP="003C6861">
            <w:pPr>
              <w:ind w:leftChars="136" w:left="326" w:firstLineChars="120" w:firstLine="288"/>
              <w:jc w:val="both"/>
              <w:rPr>
                <w:rFonts w:ascii="標楷體" w:eastAsia="標楷體" w:hAnsi="標楷體"/>
              </w:rPr>
            </w:pPr>
            <w:r w:rsidRPr="00896973">
              <w:rPr>
                <w:rFonts w:ascii="標楷體" w:eastAsia="標楷體" w:hAnsi="標楷體" w:hint="eastAsia"/>
              </w:rPr>
              <w:t>主管機關應邀請專家、學者、相關機關、團體出席公聽會，並邀請整治計畫提出者列席，且優先開放鄰近居民參與。</w:t>
            </w:r>
          </w:p>
          <w:p w:rsidR="003C6861" w:rsidRPr="00896973" w:rsidRDefault="003C6861" w:rsidP="003C6861">
            <w:pPr>
              <w:ind w:leftChars="136" w:left="326" w:firstLineChars="120" w:firstLine="288"/>
              <w:jc w:val="both"/>
              <w:rPr>
                <w:rFonts w:ascii="標楷體" w:eastAsia="標楷體" w:hAnsi="標楷體"/>
              </w:rPr>
            </w:pPr>
            <w:r w:rsidRPr="00896973">
              <w:rPr>
                <w:rFonts w:ascii="標楷體" w:eastAsia="標楷體" w:hAnsi="標楷體" w:hint="eastAsia"/>
              </w:rPr>
              <w:t>前項鄰近居民之定義，係指居住在整治</w:t>
            </w:r>
            <w:proofErr w:type="gramStart"/>
            <w:r w:rsidRPr="00896973">
              <w:rPr>
                <w:rFonts w:ascii="標楷體" w:eastAsia="標楷體" w:hAnsi="標楷體" w:hint="eastAsia"/>
              </w:rPr>
              <w:t>場址周界</w:t>
            </w:r>
            <w:proofErr w:type="gramEnd"/>
            <w:r w:rsidRPr="00896973">
              <w:rPr>
                <w:rFonts w:ascii="標楷體" w:eastAsia="標楷體" w:hAnsi="標楷體" w:hint="eastAsia"/>
              </w:rPr>
              <w:t>一公里範圍內者，必要時，主管機關</w:t>
            </w:r>
            <w:r w:rsidRPr="00896973">
              <w:rPr>
                <w:rFonts w:ascii="標楷體" w:eastAsia="標楷體" w:hAnsi="標楷體" w:hint="eastAsia"/>
              </w:rPr>
              <w:lastRenderedPageBreak/>
              <w:t>得擴大其範圍。</w:t>
            </w:r>
          </w:p>
        </w:tc>
        <w:tc>
          <w:tcPr>
            <w:tcW w:w="2788" w:type="dxa"/>
          </w:tcPr>
          <w:p w:rsidR="003C6861" w:rsidRPr="00896973" w:rsidRDefault="006A2919" w:rsidP="006A2919">
            <w:pPr>
              <w:jc w:val="both"/>
              <w:rPr>
                <w:rFonts w:ascii="標楷體" w:eastAsia="標楷體" w:hAnsi="標楷體"/>
              </w:rPr>
            </w:pPr>
            <w:r w:rsidRPr="00896973">
              <w:rPr>
                <w:rFonts w:ascii="標楷體" w:eastAsia="標楷體" w:hAnsi="標楷體" w:hint="eastAsia"/>
              </w:rPr>
              <w:lastRenderedPageBreak/>
              <w:t>為廣泛建立公民參與管道，</w:t>
            </w:r>
            <w:proofErr w:type="gramStart"/>
            <w:r w:rsidRPr="00896973">
              <w:rPr>
                <w:rFonts w:ascii="標楷體" w:eastAsia="標楷體" w:hAnsi="標楷體" w:hint="eastAsia"/>
              </w:rPr>
              <w:t>爰</w:t>
            </w:r>
            <w:proofErr w:type="gramEnd"/>
            <w:r w:rsidR="003C6861" w:rsidRPr="00896973">
              <w:rPr>
                <w:rFonts w:ascii="標楷體" w:eastAsia="標楷體" w:hAnsi="標楷體" w:hint="eastAsia"/>
              </w:rPr>
              <w:t>增列</w:t>
            </w:r>
            <w:r w:rsidRPr="00896973">
              <w:rPr>
                <w:rFonts w:ascii="標楷體" w:eastAsia="標楷體" w:hAnsi="標楷體" w:hint="eastAsia"/>
              </w:rPr>
              <w:t>第五項規定，透過</w:t>
            </w:r>
            <w:r w:rsidR="003C6861" w:rsidRPr="00896973">
              <w:rPr>
                <w:rFonts w:ascii="標楷體" w:eastAsia="標楷體" w:hAnsi="標楷體" w:hint="eastAsia"/>
              </w:rPr>
              <w:t>網際網路參與方式，擴大</w:t>
            </w:r>
            <w:r w:rsidR="00C37D62" w:rsidRPr="00896973">
              <w:rPr>
                <w:rFonts w:ascii="標楷體" w:eastAsia="標楷體" w:hAnsi="標楷體" w:hint="eastAsia"/>
              </w:rPr>
              <w:t>公民</w:t>
            </w:r>
            <w:r w:rsidR="003C6861" w:rsidRPr="00896973">
              <w:rPr>
                <w:rFonts w:ascii="標楷體" w:eastAsia="標楷體" w:hAnsi="標楷體" w:hint="eastAsia"/>
              </w:rPr>
              <w:t>多元參與機制。</w:t>
            </w:r>
          </w:p>
        </w:tc>
      </w:tr>
    </w:tbl>
    <w:p w:rsidR="003C6861" w:rsidRPr="00896973" w:rsidRDefault="003C6861" w:rsidP="003C6861">
      <w:pPr>
        <w:ind w:left="1218" w:hanging="1218"/>
      </w:pPr>
    </w:p>
    <w:p w:rsidR="00981286" w:rsidRPr="00A75E30" w:rsidRDefault="00981286" w:rsidP="00981286">
      <w:pPr>
        <w:widowControl/>
        <w:rPr>
          <w:rFonts w:ascii="標楷體" w:eastAsia="標楷體" w:hAnsi="標楷體"/>
          <w:sz w:val="28"/>
          <w:szCs w:val="28"/>
        </w:rPr>
      </w:pPr>
    </w:p>
    <w:sectPr w:rsidR="00981286" w:rsidRPr="00A75E30" w:rsidSect="006E51B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060" w:rsidRDefault="001A6060" w:rsidP="0027569F">
      <w:r>
        <w:separator/>
      </w:r>
    </w:p>
  </w:endnote>
  <w:endnote w:type="continuationSeparator" w:id="0">
    <w:p w:rsidR="001A6060" w:rsidRDefault="001A6060" w:rsidP="00275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060" w:rsidRDefault="001A6060" w:rsidP="0027569F">
      <w:r>
        <w:separator/>
      </w:r>
    </w:p>
  </w:footnote>
  <w:footnote w:type="continuationSeparator" w:id="0">
    <w:p w:rsidR="001A6060" w:rsidRDefault="001A6060" w:rsidP="002756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8F9"/>
    <w:multiLevelType w:val="hybridMultilevel"/>
    <w:tmpl w:val="F42C04CA"/>
    <w:lvl w:ilvl="0" w:tplc="C2E42650">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
    <w:nsid w:val="1AAD193F"/>
    <w:multiLevelType w:val="hybridMultilevel"/>
    <w:tmpl w:val="860024C4"/>
    <w:lvl w:ilvl="0" w:tplc="C2E42650">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nsid w:val="23E66F30"/>
    <w:multiLevelType w:val="hybridMultilevel"/>
    <w:tmpl w:val="A1909F8E"/>
    <w:lvl w:ilvl="0" w:tplc="E5A6D2B0">
      <w:start w:val="1"/>
      <w:numFmt w:val="taiwaneseCountingThousand"/>
      <w:lvlText w:val="%1、"/>
      <w:lvlJc w:val="left"/>
      <w:pPr>
        <w:tabs>
          <w:tab w:val="num" w:pos="480"/>
        </w:tabs>
        <w:ind w:left="480" w:hanging="480"/>
      </w:pPr>
      <w:rPr>
        <w:rFonts w:hint="default"/>
      </w:rPr>
    </w:lvl>
    <w:lvl w:ilvl="1" w:tplc="F0B29044">
      <w:start w:val="5"/>
      <w:numFmt w:val="taiwaneseCountingThousand"/>
      <w:lvlText w:val="第%2條"/>
      <w:lvlJc w:val="left"/>
      <w:pPr>
        <w:tabs>
          <w:tab w:val="num" w:pos="1200"/>
        </w:tabs>
        <w:ind w:left="1200" w:hanging="720"/>
      </w:pPr>
      <w:rPr>
        <w:rFonts w:hint="default"/>
      </w:rPr>
    </w:lvl>
    <w:lvl w:ilvl="2" w:tplc="C2E42650">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60A1575"/>
    <w:multiLevelType w:val="hybridMultilevel"/>
    <w:tmpl w:val="A170C50E"/>
    <w:lvl w:ilvl="0" w:tplc="2C4A5D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FFF75C6"/>
    <w:multiLevelType w:val="hybridMultilevel"/>
    <w:tmpl w:val="15CEDB2A"/>
    <w:lvl w:ilvl="0" w:tplc="7D1644F0">
      <w:start w:val="1"/>
      <w:numFmt w:val="taiwaneseCountingThousand"/>
      <w:lvlText w:val="%1、"/>
      <w:lvlJc w:val="left"/>
      <w:pPr>
        <w:tabs>
          <w:tab w:val="num" w:pos="435"/>
        </w:tabs>
        <w:ind w:left="435" w:hanging="435"/>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6746D5A"/>
    <w:multiLevelType w:val="hybridMultilevel"/>
    <w:tmpl w:val="0C78AD08"/>
    <w:lvl w:ilvl="0" w:tplc="444EDAEC">
      <w:start w:val="1"/>
      <w:numFmt w:val="taiwaneseCountingThousand"/>
      <w:lvlText w:val="%1、"/>
      <w:lvlJc w:val="left"/>
      <w:pPr>
        <w:ind w:left="600" w:hanging="36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590F542E"/>
    <w:multiLevelType w:val="hybridMultilevel"/>
    <w:tmpl w:val="77D6A8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3C42D49"/>
    <w:multiLevelType w:val="hybridMultilevel"/>
    <w:tmpl w:val="21D43CE8"/>
    <w:lvl w:ilvl="0" w:tplc="C2E42650">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74CC7F8B"/>
    <w:multiLevelType w:val="hybridMultilevel"/>
    <w:tmpl w:val="9258AE64"/>
    <w:lvl w:ilvl="0" w:tplc="0409000F">
      <w:start w:val="1"/>
      <w:numFmt w:val="decimal"/>
      <w:lvlText w:val="%1."/>
      <w:lvlJc w:val="left"/>
      <w:pPr>
        <w:ind w:left="722" w:hanging="480"/>
      </w:p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9">
    <w:nsid w:val="75D4100D"/>
    <w:multiLevelType w:val="hybridMultilevel"/>
    <w:tmpl w:val="C50045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5"/>
  </w:num>
  <w:num w:numId="3">
    <w:abstractNumId w:val="2"/>
  </w:num>
  <w:num w:numId="4">
    <w:abstractNumId w:val="7"/>
  </w:num>
  <w:num w:numId="5">
    <w:abstractNumId w:val="0"/>
  </w:num>
  <w:num w:numId="6">
    <w:abstractNumId w:val="1"/>
  </w:num>
  <w:num w:numId="7">
    <w:abstractNumId w:val="6"/>
  </w:num>
  <w:num w:numId="8">
    <w:abstractNumId w:val="9"/>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6914"/>
    <w:rsid w:val="00051CA1"/>
    <w:rsid w:val="0006498D"/>
    <w:rsid w:val="001A6060"/>
    <w:rsid w:val="001C2A8A"/>
    <w:rsid w:val="001F7F97"/>
    <w:rsid w:val="00253B65"/>
    <w:rsid w:val="0027569F"/>
    <w:rsid w:val="002D337B"/>
    <w:rsid w:val="002E2D7F"/>
    <w:rsid w:val="003A0065"/>
    <w:rsid w:val="003C6861"/>
    <w:rsid w:val="003D2DF5"/>
    <w:rsid w:val="00411CEE"/>
    <w:rsid w:val="00423AE5"/>
    <w:rsid w:val="004C520A"/>
    <w:rsid w:val="00500EC8"/>
    <w:rsid w:val="00553D6E"/>
    <w:rsid w:val="005D5C69"/>
    <w:rsid w:val="00640FB6"/>
    <w:rsid w:val="006A2919"/>
    <w:rsid w:val="006B1046"/>
    <w:rsid w:val="006C18B4"/>
    <w:rsid w:val="006E51B0"/>
    <w:rsid w:val="00703C61"/>
    <w:rsid w:val="00706B59"/>
    <w:rsid w:val="00796914"/>
    <w:rsid w:val="007A6F12"/>
    <w:rsid w:val="007C478C"/>
    <w:rsid w:val="0088058F"/>
    <w:rsid w:val="00887EE7"/>
    <w:rsid w:val="00896973"/>
    <w:rsid w:val="008D0D51"/>
    <w:rsid w:val="009445CA"/>
    <w:rsid w:val="00945BBA"/>
    <w:rsid w:val="00981286"/>
    <w:rsid w:val="009B1F88"/>
    <w:rsid w:val="00A2049A"/>
    <w:rsid w:val="00A449BE"/>
    <w:rsid w:val="00A74623"/>
    <w:rsid w:val="00AF0450"/>
    <w:rsid w:val="00B50614"/>
    <w:rsid w:val="00B86E99"/>
    <w:rsid w:val="00BA5CC8"/>
    <w:rsid w:val="00C2112D"/>
    <w:rsid w:val="00C37D62"/>
    <w:rsid w:val="00C756BB"/>
    <w:rsid w:val="00C96D7C"/>
    <w:rsid w:val="00CA69C0"/>
    <w:rsid w:val="00D252E9"/>
    <w:rsid w:val="00D770A0"/>
    <w:rsid w:val="00D81F38"/>
    <w:rsid w:val="00DA309E"/>
    <w:rsid w:val="00DA7599"/>
    <w:rsid w:val="00DC2D1B"/>
    <w:rsid w:val="00DD2F94"/>
    <w:rsid w:val="00DE1078"/>
    <w:rsid w:val="00E71825"/>
    <w:rsid w:val="00EE0437"/>
    <w:rsid w:val="00EF2D0B"/>
    <w:rsid w:val="00F0297B"/>
    <w:rsid w:val="00F1184C"/>
    <w:rsid w:val="00F40446"/>
    <w:rsid w:val="00FC5D8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91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96914"/>
    <w:pPr>
      <w:spacing w:line="480" w:lineRule="exact"/>
      <w:ind w:left="1800" w:hangingChars="500" w:hanging="1800"/>
      <w:jc w:val="both"/>
    </w:pPr>
    <w:rPr>
      <w:rFonts w:ascii="標楷體" w:eastAsia="標楷體" w:hAnsi="標楷體"/>
      <w:sz w:val="36"/>
    </w:rPr>
  </w:style>
  <w:style w:type="character" w:customStyle="1" w:styleId="a4">
    <w:name w:val="本文縮排 字元"/>
    <w:basedOn w:val="a0"/>
    <w:link w:val="a3"/>
    <w:rsid w:val="00796914"/>
    <w:rPr>
      <w:rFonts w:ascii="標楷體" w:eastAsia="標楷體" w:hAnsi="標楷體" w:cs="Times New Roman"/>
      <w:sz w:val="36"/>
      <w:szCs w:val="24"/>
    </w:rPr>
  </w:style>
  <w:style w:type="paragraph" w:styleId="a5">
    <w:name w:val="List Paragraph"/>
    <w:basedOn w:val="a"/>
    <w:uiPriority w:val="34"/>
    <w:qFormat/>
    <w:rsid w:val="00796914"/>
    <w:pPr>
      <w:ind w:leftChars="200" w:left="480"/>
    </w:pPr>
  </w:style>
  <w:style w:type="paragraph" w:styleId="a6">
    <w:name w:val="header"/>
    <w:basedOn w:val="a"/>
    <w:link w:val="a7"/>
    <w:uiPriority w:val="99"/>
    <w:semiHidden/>
    <w:unhideWhenUsed/>
    <w:rsid w:val="0027569F"/>
    <w:pPr>
      <w:tabs>
        <w:tab w:val="center" w:pos="4153"/>
        <w:tab w:val="right" w:pos="8306"/>
      </w:tabs>
      <w:snapToGrid w:val="0"/>
    </w:pPr>
    <w:rPr>
      <w:sz w:val="20"/>
      <w:szCs w:val="20"/>
    </w:rPr>
  </w:style>
  <w:style w:type="character" w:customStyle="1" w:styleId="a7">
    <w:name w:val="頁首 字元"/>
    <w:basedOn w:val="a0"/>
    <w:link w:val="a6"/>
    <w:uiPriority w:val="99"/>
    <w:semiHidden/>
    <w:rsid w:val="0027569F"/>
    <w:rPr>
      <w:rFonts w:ascii="Times New Roman" w:eastAsia="新細明體" w:hAnsi="Times New Roman" w:cs="Times New Roman"/>
      <w:sz w:val="20"/>
      <w:szCs w:val="20"/>
    </w:rPr>
  </w:style>
  <w:style w:type="paragraph" w:styleId="a8">
    <w:name w:val="footer"/>
    <w:basedOn w:val="a"/>
    <w:link w:val="a9"/>
    <w:uiPriority w:val="99"/>
    <w:semiHidden/>
    <w:unhideWhenUsed/>
    <w:rsid w:val="0027569F"/>
    <w:pPr>
      <w:tabs>
        <w:tab w:val="center" w:pos="4153"/>
        <w:tab w:val="right" w:pos="8306"/>
      </w:tabs>
      <w:snapToGrid w:val="0"/>
    </w:pPr>
    <w:rPr>
      <w:sz w:val="20"/>
      <w:szCs w:val="20"/>
    </w:rPr>
  </w:style>
  <w:style w:type="character" w:customStyle="1" w:styleId="a9">
    <w:name w:val="頁尾 字元"/>
    <w:basedOn w:val="a0"/>
    <w:link w:val="a8"/>
    <w:uiPriority w:val="99"/>
    <w:semiHidden/>
    <w:rsid w:val="0027569F"/>
    <w:rPr>
      <w:rFonts w:ascii="Times New Roman" w:eastAsia="新細明體" w:hAnsi="Times New Roman" w:cs="Times New Roman"/>
      <w:sz w:val="20"/>
      <w:szCs w:val="20"/>
    </w:rPr>
  </w:style>
  <w:style w:type="paragraph" w:styleId="aa">
    <w:name w:val="Body Text"/>
    <w:basedOn w:val="a"/>
    <w:link w:val="ab"/>
    <w:uiPriority w:val="99"/>
    <w:semiHidden/>
    <w:unhideWhenUsed/>
    <w:rsid w:val="0027569F"/>
    <w:pPr>
      <w:spacing w:after="120"/>
    </w:pPr>
  </w:style>
  <w:style w:type="character" w:customStyle="1" w:styleId="ab">
    <w:name w:val="本文 字元"/>
    <w:basedOn w:val="a0"/>
    <w:link w:val="aa"/>
    <w:uiPriority w:val="99"/>
    <w:semiHidden/>
    <w:rsid w:val="0027569F"/>
    <w:rPr>
      <w:rFonts w:ascii="Times New Roman" w:eastAsia="新細明體" w:hAnsi="Times New Roman" w:cs="Times New Roman"/>
      <w:szCs w:val="24"/>
    </w:rPr>
  </w:style>
  <w:style w:type="paragraph" w:styleId="ac">
    <w:name w:val="Balloon Text"/>
    <w:basedOn w:val="a"/>
    <w:link w:val="ad"/>
    <w:uiPriority w:val="99"/>
    <w:semiHidden/>
    <w:unhideWhenUsed/>
    <w:rsid w:val="009445C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445CA"/>
    <w:rPr>
      <w:rFonts w:asciiTheme="majorHAnsi" w:eastAsiaTheme="majorEastAsia" w:hAnsiTheme="majorHAnsi" w:cstheme="majorBidi"/>
      <w:sz w:val="18"/>
      <w:szCs w:val="18"/>
    </w:rPr>
  </w:style>
  <w:style w:type="table" w:styleId="ae">
    <w:name w:val="Table Grid"/>
    <w:basedOn w:val="a1"/>
    <w:uiPriority w:val="59"/>
    <w:rsid w:val="009812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wchsu</dc:creator>
  <cp:lastModifiedBy>wchsu</cp:lastModifiedBy>
  <cp:revision>2</cp:revision>
  <cp:lastPrinted>2015-10-29T02:45:00Z</cp:lastPrinted>
  <dcterms:created xsi:type="dcterms:W3CDTF">2015-11-02T08:47:00Z</dcterms:created>
  <dcterms:modified xsi:type="dcterms:W3CDTF">2015-11-02T08:47:00Z</dcterms:modified>
</cp:coreProperties>
</file>