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85" w:rsidRPr="00173B34" w:rsidRDefault="001A66B7" w:rsidP="00173B34">
      <w:pPr>
        <w:spacing w:line="500" w:lineRule="auto"/>
        <w:ind w:firstLine="560"/>
        <w:jc w:val="center"/>
        <w:rPr>
          <w:rFonts w:ascii="Arial" w:eastAsia="標楷體" w:hAnsi="Arial" w:cs="Arial"/>
          <w:b/>
          <w:sz w:val="48"/>
          <w:szCs w:val="48"/>
        </w:rPr>
      </w:pPr>
      <w:r w:rsidRPr="00173B34">
        <w:rPr>
          <w:rFonts w:ascii="Arial" w:eastAsia="標楷體" w:hAnsi="Arial" w:cs="Arial" w:hint="eastAsia"/>
          <w:b/>
          <w:sz w:val="48"/>
          <w:szCs w:val="48"/>
        </w:rPr>
        <w:t>附件</w:t>
      </w:r>
      <w:r w:rsidR="00C676EE">
        <w:rPr>
          <w:rFonts w:ascii="Arial" w:eastAsia="標楷體" w:hAnsi="Arial" w:cs="Arial" w:hint="eastAsia"/>
          <w:b/>
          <w:sz w:val="48"/>
          <w:szCs w:val="48"/>
        </w:rPr>
        <w:t>-</w:t>
      </w:r>
      <w:bookmarkStart w:id="0" w:name="_GoBack"/>
      <w:bookmarkEnd w:id="0"/>
      <w:r w:rsidRPr="00173B34">
        <w:rPr>
          <w:rFonts w:ascii="Arial" w:eastAsia="標楷體" w:hAnsi="Arial" w:cs="Arial" w:hint="eastAsia"/>
          <w:b/>
          <w:sz w:val="48"/>
          <w:szCs w:val="48"/>
        </w:rPr>
        <w:t>仿真模組車輛內容介紹</w:t>
      </w:r>
    </w:p>
    <w:p w:rsidR="00836085" w:rsidRPr="00173B34" w:rsidRDefault="001A66B7" w:rsidP="00173B34">
      <w:pPr>
        <w:spacing w:line="460" w:lineRule="auto"/>
        <w:ind w:left="1418" w:hanging="955"/>
        <w:jc w:val="both"/>
        <w:rPr>
          <w:rFonts w:ascii="Arial" w:eastAsia="標楷體" w:hAnsi="Arial" w:cs="Arial"/>
          <w:sz w:val="28"/>
          <w:szCs w:val="28"/>
        </w:rPr>
      </w:pPr>
      <w:r w:rsidRPr="00BF0FA9">
        <w:rPr>
          <w:rFonts w:ascii="Arial" w:eastAsia="標楷體" w:hAnsi="Arial" w:cs="Arial"/>
        </w:rPr>
        <w:t>(</w:t>
      </w:r>
      <w:proofErr w:type="gramStart"/>
      <w:r w:rsidRPr="00BF0FA9">
        <w:rPr>
          <w:rFonts w:ascii="Arial" w:eastAsia="標楷體" w:hAnsi="Arial" w:cs="Arial"/>
        </w:rPr>
        <w:t>一</w:t>
      </w:r>
      <w:proofErr w:type="gramEnd"/>
      <w:r w:rsidRPr="00BF0FA9">
        <w:rPr>
          <w:rFonts w:ascii="Arial" w:eastAsia="標楷體" w:hAnsi="Arial" w:cs="Arial"/>
        </w:rPr>
        <w:t>)</w:t>
      </w:r>
      <w:r w:rsidRPr="00BF0FA9">
        <w:rPr>
          <w:rFonts w:ascii="Arial" w:eastAsia="標楷體" w:hAnsi="Arial" w:cs="Arial"/>
        </w:rPr>
        <w:tab/>
      </w:r>
      <w:r w:rsidRPr="00173B34">
        <w:rPr>
          <w:rFonts w:ascii="Arial" w:eastAsia="標楷體" w:hAnsi="Arial" w:cs="Arial" w:hint="eastAsia"/>
          <w:sz w:val="28"/>
          <w:szCs w:val="28"/>
        </w:rPr>
        <w:t>低危害性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常壓儲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運應變聯防能力提升模組車輛：</w:t>
      </w:r>
    </w:p>
    <w:p w:rsidR="00836085" w:rsidRPr="00173B34" w:rsidRDefault="001A66B7">
      <w:pPr>
        <w:numPr>
          <w:ilvl w:val="0"/>
          <w:numId w:val="2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個人防護設備與除污訓練模組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1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numPr>
          <w:ilvl w:val="0"/>
          <w:numId w:val="2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常壓槽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車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散裝</w:t>
      </w:r>
      <w:r w:rsidRPr="00173B34">
        <w:rPr>
          <w:rFonts w:ascii="Arial" w:eastAsia="標楷體" w:hAnsi="Arial" w:cs="Arial"/>
          <w:sz w:val="28"/>
          <w:szCs w:val="28"/>
        </w:rPr>
        <w:t>)</w:t>
      </w:r>
      <w:r w:rsidRPr="00173B34">
        <w:rPr>
          <w:rFonts w:ascii="Arial" w:eastAsia="標楷體" w:hAnsi="Arial" w:cs="Arial" w:hint="eastAsia"/>
          <w:sz w:val="28"/>
          <w:szCs w:val="28"/>
        </w:rPr>
        <w:t>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2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該模組係引進美國</w:t>
      </w:r>
      <w:r w:rsidRPr="00173B34">
        <w:rPr>
          <w:rFonts w:ascii="Arial" w:eastAsia="標楷體" w:hAnsi="Arial" w:cs="Arial"/>
          <w:sz w:val="28"/>
          <w:szCs w:val="28"/>
        </w:rPr>
        <w:t>STTS</w:t>
      </w:r>
      <w:r w:rsidRPr="00173B34">
        <w:rPr>
          <w:rFonts w:ascii="Arial" w:eastAsia="標楷體" w:hAnsi="Arial" w:cs="Arial" w:hint="eastAsia"/>
          <w:sz w:val="28"/>
          <w:szCs w:val="28"/>
        </w:rPr>
        <w:t>公司訓練專用的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常壓槽體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訓練模組，其設計概念則在於模組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槽體除槽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體內容量縮小外，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其餘槽體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所必要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的閥件與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配件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均與實體槽體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相同，並透過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槽身側視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，可以讓應變人員深入瞭解各項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槽體閥件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結構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與作動方式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，對應變災情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析有極大之助益。</w:t>
      </w:r>
    </w:p>
    <w:p w:rsidR="00836085" w:rsidRPr="00173B34" w:rsidRDefault="001A66B7">
      <w:pPr>
        <w:numPr>
          <w:ilvl w:val="0"/>
          <w:numId w:val="2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常壓容器</w:t>
      </w:r>
      <w:proofErr w:type="gramEnd"/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非散裝</w:t>
      </w:r>
      <w:r w:rsidRPr="00173B34">
        <w:rPr>
          <w:rFonts w:ascii="Arial" w:eastAsia="標楷體" w:hAnsi="Arial" w:cs="Arial"/>
          <w:sz w:val="28"/>
          <w:szCs w:val="28"/>
        </w:rPr>
        <w:t>)</w:t>
      </w:r>
      <w:r w:rsidRPr="00173B34">
        <w:rPr>
          <w:rFonts w:ascii="Arial" w:eastAsia="標楷體" w:hAnsi="Arial" w:cs="Arial" w:hint="eastAsia"/>
          <w:sz w:val="28"/>
          <w:szCs w:val="28"/>
        </w:rPr>
        <w:t>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3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該模組包括</w:t>
      </w:r>
      <w:r w:rsidRPr="00173B34">
        <w:rPr>
          <w:rFonts w:ascii="Arial" w:eastAsia="標楷體" w:hAnsi="Arial" w:cs="Arial"/>
          <w:sz w:val="28"/>
          <w:szCs w:val="28"/>
        </w:rPr>
        <w:t>53</w:t>
      </w:r>
      <w:r w:rsidRPr="00173B34">
        <w:rPr>
          <w:rFonts w:ascii="Arial" w:eastAsia="標楷體" w:hAnsi="Arial" w:cs="Arial" w:hint="eastAsia"/>
          <w:sz w:val="28"/>
          <w:szCs w:val="28"/>
        </w:rPr>
        <w:t>加侖桶、</w:t>
      </w:r>
      <w:r w:rsidRPr="00173B34">
        <w:rPr>
          <w:rFonts w:ascii="Arial" w:eastAsia="標楷體" w:hAnsi="Arial" w:cs="Arial"/>
          <w:sz w:val="28"/>
          <w:szCs w:val="28"/>
        </w:rPr>
        <w:t>IBC Tank</w:t>
      </w:r>
      <w:r w:rsidRPr="00173B34">
        <w:rPr>
          <w:rFonts w:ascii="Arial" w:eastAsia="標楷體" w:hAnsi="Arial" w:cs="Arial" w:hint="eastAsia"/>
          <w:sz w:val="28"/>
          <w:szCs w:val="28"/>
        </w:rPr>
        <w:t>等模擬容器，除進行容器型態與外觀設施認知外，並設計非散裝容器常見洩漏點，讓應變人員訓練容器止漏、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封存與吊掛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作業並可利用車體內的二個模擬</w:t>
      </w:r>
      <w:r w:rsidRPr="00173B34">
        <w:rPr>
          <w:rFonts w:ascii="Arial" w:eastAsia="標楷體" w:hAnsi="Arial" w:cs="Arial"/>
          <w:sz w:val="28"/>
          <w:szCs w:val="28"/>
        </w:rPr>
        <w:t>IBC Tank</w:t>
      </w:r>
      <w:r w:rsidRPr="00173B34">
        <w:rPr>
          <w:rFonts w:ascii="Arial" w:eastAsia="標楷體" w:hAnsi="Arial" w:cs="Arial" w:hint="eastAsia"/>
          <w:sz w:val="28"/>
          <w:szCs w:val="28"/>
        </w:rPr>
        <w:t>，以及結合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隔膜式幫浦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進行液體移轉作業，訓練應變人員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對轉槽作業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操作程序與其注意事項。</w:t>
      </w:r>
    </w:p>
    <w:p w:rsidR="00836085" w:rsidRPr="00173B34" w:rsidRDefault="001A66B7">
      <w:pPr>
        <w:numPr>
          <w:ilvl w:val="0"/>
          <w:numId w:val="2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災後環境復原訓練模組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4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該模組係以介紹各式化學品圍堵設施與相關使用限制，其實際操作訓練則需結合非散裝容器訓練模組，用於訓練應變人員當化學品容器洩漏時，其圍堵與止漏的技巧訓練。</w:t>
      </w:r>
    </w:p>
    <w:p w:rsidR="00836085" w:rsidRPr="00173B34" w:rsidRDefault="001A66B7">
      <w:pPr>
        <w:numPr>
          <w:ilvl w:val="0"/>
          <w:numId w:val="2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lastRenderedPageBreak/>
        <w:t>災情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析與監控指揮模組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5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該模組係以現場指揮體系溝通訓練為主題，其中包括無線電操作、訊息傳達、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毒災系統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操作以及應變文件使用等訓練，主要透過車體的災情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研析室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與外界做隔離，用以訓練應變人員進行模擬環境或模型進行訊息傳輸，增進應變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人員間的溝通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能力，提升應變能力的時效性與準確度。</w:t>
      </w:r>
    </w:p>
    <w:p w:rsidR="00836085" w:rsidRPr="00173B34" w:rsidRDefault="001A66B7">
      <w:pPr>
        <w:numPr>
          <w:ilvl w:val="0"/>
          <w:numId w:val="2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環境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偵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檢訓練模組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6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該模組係以事故環境區域劃分為主要設計考量，主要以訓練應變人員如何操作</w:t>
      </w:r>
      <w:r w:rsidRPr="00173B34">
        <w:rPr>
          <w:rFonts w:ascii="Arial" w:eastAsia="標楷體" w:hAnsi="Arial" w:cs="Arial"/>
          <w:sz w:val="28"/>
          <w:szCs w:val="28"/>
        </w:rPr>
        <w:t>pH</w:t>
      </w:r>
      <w:r w:rsidRPr="00173B34">
        <w:rPr>
          <w:rFonts w:ascii="Arial" w:eastAsia="標楷體" w:hAnsi="Arial" w:cs="Arial" w:hint="eastAsia"/>
          <w:sz w:val="28"/>
          <w:szCs w:val="28"/>
        </w:rPr>
        <w:t>試紙、多用氣體偵測器、光離子偵測器、火焰離子偵測器等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直讀式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設備進行現場區域劃分（分別劃分為冷、暖及熱區），並配置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化學品盲樣做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模擬，讓訓練更具真實感。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除直讀式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儀器訓練外，亦會針對如何進行現場環境空氣樣品取樣方式做訓練，利於樣品保存與後送分析。</w:t>
      </w:r>
    </w:p>
    <w:p w:rsidR="00836085" w:rsidRPr="00173B34" w:rsidRDefault="001A66B7">
      <w:pPr>
        <w:spacing w:line="460" w:lineRule="auto"/>
        <w:ind w:left="943" w:hanging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/>
          <w:sz w:val="28"/>
          <w:szCs w:val="28"/>
        </w:rPr>
        <w:t xml:space="preserve"> (</w:t>
      </w:r>
      <w:r w:rsidRPr="00173B34">
        <w:rPr>
          <w:rFonts w:ascii="Arial" w:eastAsia="標楷體" w:hAnsi="Arial" w:cs="Arial" w:hint="eastAsia"/>
          <w:sz w:val="28"/>
          <w:szCs w:val="28"/>
        </w:rPr>
        <w:t>二</w:t>
      </w:r>
      <w:r w:rsidRPr="00173B34">
        <w:rPr>
          <w:rFonts w:ascii="Arial" w:eastAsia="標楷體" w:hAnsi="Arial" w:cs="Arial"/>
          <w:sz w:val="28"/>
          <w:szCs w:val="28"/>
        </w:rPr>
        <w:t>)</w:t>
      </w:r>
      <w:r w:rsidRPr="00173B34">
        <w:rPr>
          <w:rFonts w:ascii="Arial" w:eastAsia="標楷體" w:hAnsi="Arial" w:cs="Arial"/>
          <w:sz w:val="28"/>
          <w:szCs w:val="28"/>
        </w:rPr>
        <w:tab/>
      </w:r>
      <w:r w:rsidRPr="00173B34">
        <w:rPr>
          <w:rFonts w:ascii="Arial" w:eastAsia="標楷體" w:hAnsi="Arial" w:cs="Arial" w:hint="eastAsia"/>
          <w:sz w:val="28"/>
          <w:szCs w:val="28"/>
        </w:rPr>
        <w:t>高危害性高壓儲運應變聯防能力提升模組車輛：</w:t>
      </w:r>
    </w:p>
    <w:p w:rsidR="00836085" w:rsidRPr="00173B34" w:rsidRDefault="001A66B7">
      <w:pPr>
        <w:numPr>
          <w:ilvl w:val="0"/>
          <w:numId w:val="1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高壓槽車（散裝）訓練模組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7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該模組係引進美國</w:t>
      </w:r>
      <w:r w:rsidRPr="00173B34">
        <w:rPr>
          <w:rFonts w:ascii="Arial" w:eastAsia="標楷體" w:hAnsi="Arial" w:cs="Arial"/>
          <w:sz w:val="28"/>
          <w:szCs w:val="28"/>
        </w:rPr>
        <w:t>STTS</w:t>
      </w:r>
      <w:r w:rsidRPr="00173B34">
        <w:rPr>
          <w:rFonts w:ascii="Arial" w:eastAsia="標楷體" w:hAnsi="Arial" w:cs="Arial" w:hint="eastAsia"/>
          <w:sz w:val="28"/>
          <w:szCs w:val="28"/>
        </w:rPr>
        <w:t>公司訓練專用的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高壓槽體訓練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模組，包括高壓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液化槽體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、緊急遮斷閥與</w:t>
      </w:r>
      <w:r w:rsidRPr="00173B34">
        <w:rPr>
          <w:rFonts w:ascii="Arial" w:eastAsia="標楷體" w:hAnsi="Arial" w:cs="Arial"/>
          <w:sz w:val="28"/>
          <w:szCs w:val="28"/>
        </w:rPr>
        <w:t>ISO Tank</w:t>
      </w:r>
      <w:r w:rsidRPr="00173B34">
        <w:rPr>
          <w:rFonts w:ascii="Arial" w:eastAsia="標楷體" w:hAnsi="Arial" w:cs="Arial" w:hint="eastAsia"/>
          <w:sz w:val="28"/>
          <w:szCs w:val="28"/>
        </w:rPr>
        <w:t>等，其設計概念則在於模組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槽體除槽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體內容量縮小外，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其餘槽體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所必要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的閥件與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配件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均與實體槽體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相同，並透過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槽身側視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，可以讓應變人員深入瞭解各項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槽體閥件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結構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與作動方式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，對應變災情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研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析</w:t>
      </w:r>
      <w:r w:rsidRPr="00173B34">
        <w:rPr>
          <w:rFonts w:ascii="Arial" w:eastAsia="標楷體" w:hAnsi="Arial" w:cs="Arial" w:hint="eastAsia"/>
          <w:sz w:val="28"/>
          <w:szCs w:val="28"/>
        </w:rPr>
        <w:lastRenderedPageBreak/>
        <w:t>有極大之助益，除此之外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槽體另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設計有模擬洩漏點，進而讓應變人員訓練應變止漏作業。本模組可利用車體內的二個模擬高壓容器，以及高壓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移槽幫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浦進行高壓液體移轉作業，訓練應變人員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對轉槽作業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操作程序與其注意事項。</w:t>
      </w:r>
    </w:p>
    <w:p w:rsidR="00836085" w:rsidRPr="00173B34" w:rsidRDefault="001A66B7">
      <w:pPr>
        <w:numPr>
          <w:ilvl w:val="0"/>
          <w:numId w:val="1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高壓容器（非散裝）訓練模組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8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該模組包括鋼瓶、噸級鋼瓶、高壓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管閥件等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模擬容器，除進行容器型態與外觀設施認知外，並設計非散裝容器常見洩漏點，讓應變人員，因應事故現場不同情境變化，可快速選擇適合的止漏工具訓練容器止漏。</w:t>
      </w:r>
    </w:p>
    <w:p w:rsidR="00836085" w:rsidRPr="00173B34" w:rsidRDefault="001A66B7">
      <w:pPr>
        <w:numPr>
          <w:ilvl w:val="0"/>
          <w:numId w:val="1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高壓容器引流與中和訓練模組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9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>
      <w:pPr>
        <w:spacing w:line="460" w:lineRule="auto"/>
        <w:ind w:left="1320" w:firstLine="480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該模組係以高壓容器封存、引流以及中和設備做設計，其中</w:t>
      </w:r>
      <w:r w:rsidRPr="00173B34">
        <w:rPr>
          <w:rFonts w:ascii="Arial" w:eastAsia="標楷體" w:hAnsi="Arial" w:cs="Arial"/>
          <w:sz w:val="28"/>
          <w:szCs w:val="28"/>
        </w:rPr>
        <w:t>ERCV</w:t>
      </w:r>
      <w:r w:rsidRPr="00173B34">
        <w:rPr>
          <w:rFonts w:ascii="Arial" w:eastAsia="標楷體" w:hAnsi="Arial" w:cs="Arial" w:hint="eastAsia"/>
          <w:sz w:val="28"/>
          <w:szCs w:val="28"/>
        </w:rPr>
        <w:t>為主要設備，該設備可將洩漏鋼瓶快速封存至其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內部，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再透過相關配件引流至中和設備，藉以達到去除化學品之目的，在應變人員訓練則以封存與引流為訓練主軸，以確保事故環境可以迅速將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洩漏源做控制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。</w:t>
      </w:r>
    </w:p>
    <w:p w:rsidR="00836085" w:rsidRPr="00173B34" w:rsidRDefault="001A66B7">
      <w:pPr>
        <w:numPr>
          <w:ilvl w:val="0"/>
          <w:numId w:val="1"/>
        </w:numPr>
        <w:spacing w:line="460" w:lineRule="auto"/>
        <w:jc w:val="both"/>
        <w:rPr>
          <w:rFonts w:ascii="Arial" w:eastAsia="標楷體" w:hAnsi="Arial" w:cs="Arial"/>
          <w:sz w:val="28"/>
          <w:szCs w:val="28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高壓槽車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扶正與吊掛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訓練模組</w:t>
      </w:r>
      <w:r w:rsidRPr="00173B34">
        <w:rPr>
          <w:rFonts w:ascii="Arial" w:eastAsia="標楷體" w:hAnsi="Arial" w:cs="Arial"/>
          <w:sz w:val="28"/>
          <w:szCs w:val="28"/>
        </w:rPr>
        <w:t>(</w:t>
      </w:r>
      <w:r w:rsidRPr="00173B34">
        <w:rPr>
          <w:rFonts w:ascii="Arial" w:eastAsia="標楷體" w:hAnsi="Arial" w:cs="Arial" w:hint="eastAsia"/>
          <w:sz w:val="28"/>
          <w:szCs w:val="28"/>
        </w:rPr>
        <w:t>如圖</w:t>
      </w:r>
      <w:r w:rsidRPr="00173B34">
        <w:rPr>
          <w:rFonts w:ascii="Arial" w:eastAsia="標楷體" w:hAnsi="Arial" w:cs="Arial"/>
          <w:sz w:val="28"/>
          <w:szCs w:val="28"/>
        </w:rPr>
        <w:t>10</w:t>
      </w:r>
      <w:r w:rsidRPr="00173B34">
        <w:rPr>
          <w:rFonts w:ascii="Arial" w:eastAsia="標楷體" w:hAnsi="Arial" w:cs="Arial" w:hint="eastAsia"/>
          <w:sz w:val="28"/>
          <w:szCs w:val="28"/>
        </w:rPr>
        <w:t>所示</w:t>
      </w:r>
      <w:r w:rsidRPr="00173B34">
        <w:rPr>
          <w:rFonts w:ascii="Arial" w:eastAsia="標楷體" w:hAnsi="Arial" w:cs="Arial"/>
          <w:sz w:val="28"/>
          <w:szCs w:val="28"/>
        </w:rPr>
        <w:t>)</w:t>
      </w:r>
    </w:p>
    <w:p w:rsidR="00836085" w:rsidRPr="00173B34" w:rsidRDefault="001A66B7" w:rsidP="00173B34">
      <w:pPr>
        <w:spacing w:line="460" w:lineRule="auto"/>
        <w:ind w:leftChars="590" w:left="1416" w:firstLineChars="200" w:firstLine="560"/>
        <w:jc w:val="both"/>
        <w:rPr>
          <w:rFonts w:ascii="Times New Roman" w:hAnsi="Times New Roman" w:cs="Times New Roman"/>
        </w:rPr>
      </w:pPr>
      <w:r w:rsidRPr="00173B34">
        <w:rPr>
          <w:rFonts w:ascii="Arial" w:eastAsia="標楷體" w:hAnsi="Arial" w:cs="Arial" w:hint="eastAsia"/>
          <w:sz w:val="28"/>
          <w:szCs w:val="28"/>
        </w:rPr>
        <w:t>該模組係以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模擬槽體進行扶正與吊掛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訓練，讓應變人員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熟悉槽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車於進行扶正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與吊掛時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，所需的設備以及注意事項，並如何在槽車扶正或吊掛過程中，選擇適當支撐點以及扶正的技巧，本模組則利用車體後端二個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吊臂與電動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馬達控制吊索用以</w:t>
      </w:r>
      <w:r w:rsidRPr="00173B34">
        <w:rPr>
          <w:rFonts w:ascii="Arial" w:eastAsia="標楷體" w:hAnsi="Arial" w:cs="Arial" w:hint="eastAsia"/>
          <w:sz w:val="28"/>
          <w:szCs w:val="28"/>
        </w:rPr>
        <w:lastRenderedPageBreak/>
        <w:t>模擬吊車狀態，並結合槽車訓練模組，進行</w:t>
      </w:r>
      <w:proofErr w:type="gramStart"/>
      <w:r w:rsidRPr="00173B34">
        <w:rPr>
          <w:rFonts w:ascii="Arial" w:eastAsia="標楷體" w:hAnsi="Arial" w:cs="Arial" w:hint="eastAsia"/>
          <w:sz w:val="28"/>
          <w:szCs w:val="28"/>
        </w:rPr>
        <w:t>扶正與吊掛</w:t>
      </w:r>
      <w:proofErr w:type="gramEnd"/>
      <w:r w:rsidRPr="00173B34">
        <w:rPr>
          <w:rFonts w:ascii="Arial" w:eastAsia="標楷體" w:hAnsi="Arial" w:cs="Arial" w:hint="eastAsia"/>
          <w:sz w:val="28"/>
          <w:szCs w:val="28"/>
        </w:rPr>
        <w:t>操作訓練。</w:t>
      </w:r>
    </w:p>
    <w:tbl>
      <w:tblPr>
        <w:tblStyle w:val="af"/>
        <w:tblW w:w="9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45"/>
        <w:gridCol w:w="4741"/>
      </w:tblGrid>
      <w:tr w:rsidR="00836085" w:rsidRPr="00BF0FA9">
        <w:tc>
          <w:tcPr>
            <w:tcW w:w="4545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5322124A" wp14:editId="5D247986">
                  <wp:extent cx="1323468" cy="1216982"/>
                  <wp:effectExtent l="0" t="0" r="0" b="0"/>
                  <wp:docPr id="4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7706" t="8243" r="17795" b="17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68" cy="1216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5B56DEF2" wp14:editId="2EB3DEE1">
                  <wp:extent cx="1955468" cy="1164492"/>
                  <wp:effectExtent l="0" t="0" r="0" b="0"/>
                  <wp:docPr id="4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 l="6402" t="9503" r="12199" b="18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68" cy="1164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085" w:rsidRPr="00BF0FA9">
        <w:tc>
          <w:tcPr>
            <w:tcW w:w="4545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1</w:t>
            </w:r>
            <w:r w:rsidRPr="0082035C">
              <w:rPr>
                <w:rFonts w:ascii="Arial" w:eastAsia="標楷體" w:hAnsi="Arial" w:cs="Arial" w:hint="eastAsia"/>
              </w:rPr>
              <w:t>、個人防護設備與除污訓練模組</w:t>
            </w:r>
          </w:p>
        </w:tc>
        <w:tc>
          <w:tcPr>
            <w:tcW w:w="4741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2</w:t>
            </w:r>
            <w:r w:rsidRPr="0082035C">
              <w:rPr>
                <w:rFonts w:ascii="Arial" w:eastAsia="標楷體" w:hAnsi="Arial" w:cs="Arial" w:hint="eastAsia"/>
              </w:rPr>
              <w:t>、</w:t>
            </w:r>
            <w:proofErr w:type="gramStart"/>
            <w:r w:rsidRPr="0082035C">
              <w:rPr>
                <w:rFonts w:ascii="Arial" w:eastAsia="標楷體" w:hAnsi="Arial" w:cs="Arial" w:hint="eastAsia"/>
              </w:rPr>
              <w:t>說明常壓槽</w:t>
            </w:r>
            <w:proofErr w:type="gramEnd"/>
            <w:r w:rsidRPr="0082035C">
              <w:rPr>
                <w:rFonts w:ascii="Arial" w:eastAsia="標楷體" w:hAnsi="Arial" w:cs="Arial" w:hint="eastAsia"/>
              </w:rPr>
              <w:t>車</w:t>
            </w:r>
            <w:r w:rsidRPr="0082035C">
              <w:rPr>
                <w:rFonts w:ascii="Arial" w:eastAsia="標楷體" w:hAnsi="Arial" w:cs="Arial"/>
              </w:rPr>
              <w:t>(</w:t>
            </w:r>
            <w:r w:rsidRPr="0082035C">
              <w:rPr>
                <w:rFonts w:ascii="Arial" w:eastAsia="標楷體" w:hAnsi="Arial" w:cs="Arial" w:hint="eastAsia"/>
              </w:rPr>
              <w:t>散裝</w:t>
            </w:r>
            <w:r w:rsidRPr="0082035C">
              <w:rPr>
                <w:rFonts w:ascii="Arial" w:eastAsia="標楷體" w:hAnsi="Arial" w:cs="Arial"/>
              </w:rPr>
              <w:t>)</w:t>
            </w:r>
            <w:r w:rsidRPr="0082035C">
              <w:rPr>
                <w:rFonts w:ascii="Arial" w:eastAsia="標楷體" w:hAnsi="Arial" w:cs="Arial" w:hint="eastAsia"/>
              </w:rPr>
              <w:t>訓練模組</w:t>
            </w:r>
          </w:p>
        </w:tc>
      </w:tr>
      <w:tr w:rsidR="00836085" w:rsidRPr="00BF0FA9">
        <w:tc>
          <w:tcPr>
            <w:tcW w:w="4545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15C25167" wp14:editId="5AB9AB9E">
                  <wp:extent cx="1739653" cy="1140347"/>
                  <wp:effectExtent l="0" t="0" r="0" b="0"/>
                  <wp:docPr id="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l="5823" r="13048" b="20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53" cy="1140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1FF9A604" wp14:editId="4762A438">
                  <wp:extent cx="1996343" cy="1430710"/>
                  <wp:effectExtent l="0" t="0" r="0" b="0"/>
                  <wp:docPr id="3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l="7417" t="9510" r="15160" b="19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343" cy="1430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085" w:rsidRPr="00BF0FA9">
        <w:tc>
          <w:tcPr>
            <w:tcW w:w="4545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3</w:t>
            </w:r>
            <w:r w:rsidRPr="0082035C">
              <w:rPr>
                <w:rFonts w:ascii="Arial" w:eastAsia="標楷體" w:hAnsi="Arial" w:cs="Arial" w:hint="eastAsia"/>
              </w:rPr>
              <w:t>、</w:t>
            </w:r>
            <w:proofErr w:type="gramStart"/>
            <w:r w:rsidRPr="0082035C">
              <w:rPr>
                <w:rFonts w:ascii="Arial" w:eastAsia="標楷體" w:hAnsi="Arial" w:cs="Arial" w:hint="eastAsia"/>
              </w:rPr>
              <w:t>常壓容器</w:t>
            </w:r>
            <w:proofErr w:type="gramEnd"/>
            <w:r w:rsidRPr="0082035C">
              <w:rPr>
                <w:rFonts w:ascii="Arial" w:eastAsia="標楷體" w:hAnsi="Arial" w:cs="Arial" w:hint="eastAsia"/>
              </w:rPr>
              <w:t>（非散裝）訓練模組</w:t>
            </w:r>
          </w:p>
        </w:tc>
        <w:tc>
          <w:tcPr>
            <w:tcW w:w="4741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4</w:t>
            </w:r>
            <w:r w:rsidRPr="0082035C">
              <w:rPr>
                <w:rFonts w:ascii="Arial" w:eastAsia="標楷體" w:hAnsi="Arial" w:cs="Arial" w:hint="eastAsia"/>
              </w:rPr>
              <w:t>、災後環境復原訓練模組</w:t>
            </w:r>
          </w:p>
        </w:tc>
      </w:tr>
      <w:tr w:rsidR="00836085" w:rsidRPr="00BF0FA9">
        <w:tc>
          <w:tcPr>
            <w:tcW w:w="4545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136E1766" wp14:editId="0184530A">
                  <wp:extent cx="1962479" cy="1328218"/>
                  <wp:effectExtent l="0" t="0" r="0" b="0"/>
                  <wp:docPr id="3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r="12914" b="17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79" cy="1328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4C7255D6" wp14:editId="5953DD37">
                  <wp:extent cx="1483346" cy="1137970"/>
                  <wp:effectExtent l="0" t="0" r="0" b="0"/>
                  <wp:docPr id="3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46" cy="1137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085" w:rsidRPr="00BF0FA9">
        <w:tc>
          <w:tcPr>
            <w:tcW w:w="4545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5</w:t>
            </w:r>
            <w:r w:rsidRPr="0082035C">
              <w:rPr>
                <w:rFonts w:ascii="Arial" w:eastAsia="標楷體" w:hAnsi="Arial" w:cs="Arial" w:hint="eastAsia"/>
              </w:rPr>
              <w:t>、災情</w:t>
            </w:r>
            <w:proofErr w:type="gramStart"/>
            <w:r w:rsidRPr="0082035C">
              <w:rPr>
                <w:rFonts w:ascii="Arial" w:eastAsia="標楷體" w:hAnsi="Arial" w:cs="Arial" w:hint="eastAsia"/>
              </w:rPr>
              <w:t>研</w:t>
            </w:r>
            <w:proofErr w:type="gramEnd"/>
            <w:r w:rsidRPr="0082035C">
              <w:rPr>
                <w:rFonts w:ascii="Arial" w:eastAsia="標楷體" w:hAnsi="Arial" w:cs="Arial" w:hint="eastAsia"/>
              </w:rPr>
              <w:t>析與監控指揮模組</w:t>
            </w:r>
          </w:p>
        </w:tc>
        <w:tc>
          <w:tcPr>
            <w:tcW w:w="4741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6</w:t>
            </w:r>
            <w:r w:rsidRPr="0082035C">
              <w:rPr>
                <w:rFonts w:ascii="Arial" w:eastAsia="標楷體" w:hAnsi="Arial" w:cs="Arial" w:hint="eastAsia"/>
              </w:rPr>
              <w:t>、環境</w:t>
            </w:r>
            <w:proofErr w:type="gramStart"/>
            <w:r w:rsidRPr="0082035C">
              <w:rPr>
                <w:rFonts w:ascii="Arial" w:eastAsia="標楷體" w:hAnsi="Arial" w:cs="Arial" w:hint="eastAsia"/>
              </w:rPr>
              <w:t>偵</w:t>
            </w:r>
            <w:proofErr w:type="gramEnd"/>
            <w:r w:rsidRPr="0082035C">
              <w:rPr>
                <w:rFonts w:ascii="Arial" w:eastAsia="標楷體" w:hAnsi="Arial" w:cs="Arial" w:hint="eastAsia"/>
              </w:rPr>
              <w:t>檢訓練模組</w:t>
            </w:r>
          </w:p>
        </w:tc>
      </w:tr>
      <w:tr w:rsidR="00836085" w:rsidRPr="00BF0FA9">
        <w:tc>
          <w:tcPr>
            <w:tcW w:w="4545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49D60942" wp14:editId="332E11BA">
                  <wp:extent cx="2048283" cy="1018420"/>
                  <wp:effectExtent l="0" t="0" r="0" b="0"/>
                  <wp:docPr id="4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83" cy="1018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096AE3DE" wp14:editId="64B46036">
                  <wp:extent cx="2047381" cy="1096811"/>
                  <wp:effectExtent l="0" t="0" r="0" b="0"/>
                  <wp:docPr id="4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381" cy="1096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085" w:rsidRPr="00BF0FA9">
        <w:tc>
          <w:tcPr>
            <w:tcW w:w="4545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7</w:t>
            </w:r>
            <w:r w:rsidRPr="0082035C">
              <w:rPr>
                <w:rFonts w:ascii="Arial" w:eastAsia="標楷體" w:hAnsi="Arial" w:cs="Arial" w:hint="eastAsia"/>
              </w:rPr>
              <w:t>、高壓槽車（散裝）訓練模組</w:t>
            </w:r>
          </w:p>
        </w:tc>
        <w:tc>
          <w:tcPr>
            <w:tcW w:w="4741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8</w:t>
            </w:r>
            <w:r w:rsidRPr="0082035C">
              <w:rPr>
                <w:rFonts w:ascii="Arial" w:eastAsia="標楷體" w:hAnsi="Arial" w:cs="Arial" w:hint="eastAsia"/>
              </w:rPr>
              <w:t>、高壓容器（非散裝）訓練模組</w:t>
            </w:r>
          </w:p>
        </w:tc>
      </w:tr>
      <w:tr w:rsidR="00836085" w:rsidRPr="00BF0FA9">
        <w:tc>
          <w:tcPr>
            <w:tcW w:w="4545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25250F9D" wp14:editId="19D4BD06">
                  <wp:extent cx="2579569" cy="984674"/>
                  <wp:effectExtent l="0" t="0" r="0" b="0"/>
                  <wp:docPr id="3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569" cy="984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vAlign w:val="center"/>
          </w:tcPr>
          <w:p w:rsidR="00836085" w:rsidRPr="00BF0FA9" w:rsidRDefault="001A66B7">
            <w:pPr>
              <w:jc w:val="center"/>
              <w:rPr>
                <w:rFonts w:ascii="Arial" w:eastAsia="標楷體" w:hAnsi="Arial" w:cs="Arial"/>
              </w:rPr>
            </w:pPr>
            <w:r w:rsidRPr="00BF0FA9">
              <w:rPr>
                <w:rFonts w:ascii="Arial" w:eastAsia="標楷體" w:hAnsi="Arial" w:cs="Arial"/>
                <w:noProof/>
              </w:rPr>
              <w:drawing>
                <wp:inline distT="0" distB="0" distL="0" distR="0" wp14:anchorId="1164517F" wp14:editId="50971F19">
                  <wp:extent cx="2205658" cy="1134531"/>
                  <wp:effectExtent l="0" t="0" r="0" b="0"/>
                  <wp:docPr id="4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658" cy="1134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085" w:rsidRPr="00BF0FA9">
        <w:tc>
          <w:tcPr>
            <w:tcW w:w="4545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9</w:t>
            </w:r>
            <w:r w:rsidRPr="0082035C">
              <w:rPr>
                <w:rFonts w:ascii="Arial" w:eastAsia="標楷體" w:hAnsi="Arial" w:cs="Arial" w:hint="eastAsia"/>
              </w:rPr>
              <w:t>、高壓容器引流與中和訓練模組</w:t>
            </w:r>
          </w:p>
        </w:tc>
        <w:tc>
          <w:tcPr>
            <w:tcW w:w="4741" w:type="dxa"/>
          </w:tcPr>
          <w:p w:rsidR="00836085" w:rsidRPr="00173B34" w:rsidRDefault="001A66B7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82035C">
              <w:rPr>
                <w:rFonts w:ascii="Arial" w:eastAsia="標楷體" w:hAnsi="Arial" w:cs="Arial" w:hint="eastAsia"/>
              </w:rPr>
              <w:t>圖</w:t>
            </w:r>
            <w:r w:rsidRPr="0082035C">
              <w:rPr>
                <w:rFonts w:ascii="Arial" w:eastAsia="標楷體" w:hAnsi="Arial" w:cs="Arial"/>
              </w:rPr>
              <w:t>10</w:t>
            </w:r>
            <w:r w:rsidRPr="0082035C">
              <w:rPr>
                <w:rFonts w:ascii="Arial" w:eastAsia="標楷體" w:hAnsi="Arial" w:cs="Arial" w:hint="eastAsia"/>
              </w:rPr>
              <w:t>、高壓槽車</w:t>
            </w:r>
            <w:proofErr w:type="gramStart"/>
            <w:r w:rsidRPr="0082035C">
              <w:rPr>
                <w:rFonts w:ascii="Arial" w:eastAsia="標楷體" w:hAnsi="Arial" w:cs="Arial" w:hint="eastAsia"/>
              </w:rPr>
              <w:t>扶正與吊掛</w:t>
            </w:r>
            <w:proofErr w:type="gramEnd"/>
            <w:r w:rsidRPr="0082035C">
              <w:rPr>
                <w:rFonts w:ascii="Arial" w:eastAsia="標楷體" w:hAnsi="Arial" w:cs="Arial" w:hint="eastAsia"/>
              </w:rPr>
              <w:t>訓練模組</w:t>
            </w:r>
          </w:p>
        </w:tc>
      </w:tr>
    </w:tbl>
    <w:p w:rsidR="00836085" w:rsidRPr="00173B34" w:rsidRDefault="00836085" w:rsidP="00173B34">
      <w:pPr>
        <w:spacing w:line="500" w:lineRule="auto"/>
        <w:rPr>
          <w:rFonts w:ascii="Times New Roman" w:hAnsi="Times New Roman" w:cs="Times New Roman"/>
          <w:sz w:val="28"/>
          <w:szCs w:val="28"/>
        </w:rPr>
      </w:pPr>
    </w:p>
    <w:sectPr w:rsidR="00836085" w:rsidRPr="00173B34">
      <w:pgSz w:w="11906" w:h="16838"/>
      <w:pgMar w:top="1418" w:right="1418" w:bottom="1418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A71" w:rsidRDefault="00DC2A71" w:rsidP="0083680C">
      <w:r>
        <w:separator/>
      </w:r>
    </w:p>
  </w:endnote>
  <w:endnote w:type="continuationSeparator" w:id="0">
    <w:p w:rsidR="00DC2A71" w:rsidRDefault="00DC2A71" w:rsidP="0083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A71" w:rsidRDefault="00DC2A71" w:rsidP="0083680C">
      <w:r>
        <w:separator/>
      </w:r>
    </w:p>
  </w:footnote>
  <w:footnote w:type="continuationSeparator" w:id="0">
    <w:p w:rsidR="00DC2A71" w:rsidRDefault="00DC2A71" w:rsidP="00836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154E1"/>
    <w:multiLevelType w:val="multilevel"/>
    <w:tmpl w:val="2A6CE89C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5C516598"/>
    <w:multiLevelType w:val="multilevel"/>
    <w:tmpl w:val="66C2A96E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36085"/>
    <w:rsid w:val="0004287E"/>
    <w:rsid w:val="000C67C3"/>
    <w:rsid w:val="000D02F2"/>
    <w:rsid w:val="00173B34"/>
    <w:rsid w:val="00175EFD"/>
    <w:rsid w:val="001A66B7"/>
    <w:rsid w:val="001D7994"/>
    <w:rsid w:val="00211683"/>
    <w:rsid w:val="00271BC4"/>
    <w:rsid w:val="002B5B72"/>
    <w:rsid w:val="002C07AB"/>
    <w:rsid w:val="002C566C"/>
    <w:rsid w:val="00330AF0"/>
    <w:rsid w:val="00333891"/>
    <w:rsid w:val="003562A3"/>
    <w:rsid w:val="0043284C"/>
    <w:rsid w:val="004448E2"/>
    <w:rsid w:val="004713A3"/>
    <w:rsid w:val="004F226F"/>
    <w:rsid w:val="0051063B"/>
    <w:rsid w:val="00585C15"/>
    <w:rsid w:val="005A121D"/>
    <w:rsid w:val="005C631B"/>
    <w:rsid w:val="00610171"/>
    <w:rsid w:val="007454C3"/>
    <w:rsid w:val="007510A2"/>
    <w:rsid w:val="00755A8A"/>
    <w:rsid w:val="007C4154"/>
    <w:rsid w:val="007E5C37"/>
    <w:rsid w:val="0082035C"/>
    <w:rsid w:val="00831539"/>
    <w:rsid w:val="00836085"/>
    <w:rsid w:val="0083680C"/>
    <w:rsid w:val="008E50F3"/>
    <w:rsid w:val="00947EB4"/>
    <w:rsid w:val="009A3140"/>
    <w:rsid w:val="009D1B03"/>
    <w:rsid w:val="00A167E7"/>
    <w:rsid w:val="00A234B4"/>
    <w:rsid w:val="00AA6ED3"/>
    <w:rsid w:val="00AB68CF"/>
    <w:rsid w:val="00AD6A66"/>
    <w:rsid w:val="00AE0E70"/>
    <w:rsid w:val="00B00C4C"/>
    <w:rsid w:val="00B03481"/>
    <w:rsid w:val="00B211AC"/>
    <w:rsid w:val="00B243BD"/>
    <w:rsid w:val="00B66F83"/>
    <w:rsid w:val="00BF0FA9"/>
    <w:rsid w:val="00C07FF8"/>
    <w:rsid w:val="00C676EE"/>
    <w:rsid w:val="00C82216"/>
    <w:rsid w:val="00C82D1A"/>
    <w:rsid w:val="00CD5F7D"/>
    <w:rsid w:val="00D32E35"/>
    <w:rsid w:val="00D33C3C"/>
    <w:rsid w:val="00D36DAB"/>
    <w:rsid w:val="00D825EA"/>
    <w:rsid w:val="00D937C1"/>
    <w:rsid w:val="00DC2A71"/>
    <w:rsid w:val="00E0446D"/>
    <w:rsid w:val="00E167A4"/>
    <w:rsid w:val="00E16F05"/>
    <w:rsid w:val="00E51383"/>
    <w:rsid w:val="00E8494C"/>
    <w:rsid w:val="00E85C94"/>
    <w:rsid w:val="00EA2659"/>
    <w:rsid w:val="00F46D11"/>
    <w:rsid w:val="00F53E9E"/>
    <w:rsid w:val="00FB6349"/>
    <w:rsid w:val="00FD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7D6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375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584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5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584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06B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06BD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85FB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0">
    <w:name w:val="一、或標題2"/>
    <w:basedOn w:val="a"/>
    <w:link w:val="21"/>
    <w:rsid w:val="006C4A5E"/>
    <w:pPr>
      <w:spacing w:line="460" w:lineRule="exact"/>
      <w:ind w:left="225" w:hangingChars="225" w:hanging="225"/>
      <w:jc w:val="both"/>
    </w:pPr>
    <w:rPr>
      <w:rFonts w:ascii="Times New Roman" w:eastAsia="標楷體" w:hAnsi="Times New Roman" w:cs="Times New Roman"/>
    </w:rPr>
  </w:style>
  <w:style w:type="character" w:customStyle="1" w:styleId="21">
    <w:name w:val="一、或標題2 字元"/>
    <w:link w:val="20"/>
    <w:rsid w:val="006C4A5E"/>
    <w:rPr>
      <w:rFonts w:ascii="Times New Roman" w:eastAsia="標楷體" w:hAnsi="Times New Roman" w:cs="Times New Roman"/>
      <w:szCs w:val="24"/>
    </w:rPr>
  </w:style>
  <w:style w:type="paragraph" w:customStyle="1" w:styleId="aa">
    <w:name w:val="（一）或標題三"/>
    <w:basedOn w:val="a"/>
    <w:link w:val="ab"/>
    <w:rsid w:val="006C4A5E"/>
    <w:pPr>
      <w:spacing w:line="460" w:lineRule="exact"/>
      <w:ind w:leftChars="193" w:left="393" w:hangingChars="200" w:hanging="200"/>
      <w:jc w:val="both"/>
    </w:pPr>
    <w:rPr>
      <w:rFonts w:ascii="Times New Roman" w:eastAsia="標楷體" w:hAnsi="Times New Roman" w:cs="Times New Roman"/>
    </w:rPr>
  </w:style>
  <w:style w:type="character" w:customStyle="1" w:styleId="ab">
    <w:name w:val="（一）或標題三 字元"/>
    <w:link w:val="aa"/>
    <w:rsid w:val="006C4A5E"/>
    <w:rPr>
      <w:rFonts w:ascii="Times New Roman" w:eastAsia="標楷體" w:hAnsi="Times New Roman" w:cs="Times New Roman"/>
      <w:szCs w:val="24"/>
    </w:rPr>
  </w:style>
  <w:style w:type="paragraph" w:customStyle="1" w:styleId="10">
    <w:name w:val="1."/>
    <w:basedOn w:val="a"/>
    <w:link w:val="11"/>
    <w:rsid w:val="006C4A5E"/>
    <w:pPr>
      <w:spacing w:line="460" w:lineRule="exact"/>
      <w:ind w:leftChars="400" w:left="550" w:hangingChars="150" w:hanging="150"/>
      <w:jc w:val="both"/>
    </w:pPr>
    <w:rPr>
      <w:rFonts w:ascii="Times New Roman" w:eastAsia="標楷體" w:hAnsi="Times New Roman" w:cs="Times New Roman"/>
    </w:rPr>
  </w:style>
  <w:style w:type="character" w:customStyle="1" w:styleId="11">
    <w:name w:val="1. 字元"/>
    <w:link w:val="10"/>
    <w:rsid w:val="006C4A5E"/>
    <w:rPr>
      <w:rFonts w:ascii="Times New Roman" w:eastAsia="標楷體" w:hAnsi="Times New Roman" w:cs="Times New Roman"/>
      <w:szCs w:val="24"/>
    </w:rPr>
  </w:style>
  <w:style w:type="paragraph" w:customStyle="1" w:styleId="12">
    <w:name w:val="1.本文"/>
    <w:basedOn w:val="a"/>
    <w:link w:val="13"/>
    <w:rsid w:val="006C4A5E"/>
    <w:pPr>
      <w:spacing w:line="460" w:lineRule="exact"/>
      <w:ind w:leftChars="550" w:left="550" w:firstLineChars="200" w:firstLine="200"/>
      <w:jc w:val="both"/>
    </w:pPr>
    <w:rPr>
      <w:rFonts w:ascii="Times New Roman" w:eastAsia="標楷體" w:hAnsi="Times New Roman" w:cs="Times New Roman"/>
    </w:rPr>
  </w:style>
  <w:style w:type="character" w:customStyle="1" w:styleId="13">
    <w:name w:val="1.本文 字元"/>
    <w:link w:val="12"/>
    <w:rsid w:val="006C4A5E"/>
    <w:rPr>
      <w:rFonts w:ascii="Times New Roman" w:eastAsia="標楷體" w:hAnsi="Times New Roman" w:cs="Times New Roman"/>
      <w:szCs w:val="24"/>
    </w:rPr>
  </w:style>
  <w:style w:type="table" w:styleId="ac">
    <w:name w:val="Table Grid"/>
    <w:basedOn w:val="a1"/>
    <w:uiPriority w:val="59"/>
    <w:rsid w:val="006C4A5E"/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7D6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375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584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5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584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06B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06BD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85FB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0">
    <w:name w:val="一、或標題2"/>
    <w:basedOn w:val="a"/>
    <w:link w:val="21"/>
    <w:rsid w:val="006C4A5E"/>
    <w:pPr>
      <w:spacing w:line="460" w:lineRule="exact"/>
      <w:ind w:left="225" w:hangingChars="225" w:hanging="225"/>
      <w:jc w:val="both"/>
    </w:pPr>
    <w:rPr>
      <w:rFonts w:ascii="Times New Roman" w:eastAsia="標楷體" w:hAnsi="Times New Roman" w:cs="Times New Roman"/>
    </w:rPr>
  </w:style>
  <w:style w:type="character" w:customStyle="1" w:styleId="21">
    <w:name w:val="一、或標題2 字元"/>
    <w:link w:val="20"/>
    <w:rsid w:val="006C4A5E"/>
    <w:rPr>
      <w:rFonts w:ascii="Times New Roman" w:eastAsia="標楷體" w:hAnsi="Times New Roman" w:cs="Times New Roman"/>
      <w:szCs w:val="24"/>
    </w:rPr>
  </w:style>
  <w:style w:type="paragraph" w:customStyle="1" w:styleId="aa">
    <w:name w:val="（一）或標題三"/>
    <w:basedOn w:val="a"/>
    <w:link w:val="ab"/>
    <w:rsid w:val="006C4A5E"/>
    <w:pPr>
      <w:spacing w:line="460" w:lineRule="exact"/>
      <w:ind w:leftChars="193" w:left="393" w:hangingChars="200" w:hanging="200"/>
      <w:jc w:val="both"/>
    </w:pPr>
    <w:rPr>
      <w:rFonts w:ascii="Times New Roman" w:eastAsia="標楷體" w:hAnsi="Times New Roman" w:cs="Times New Roman"/>
    </w:rPr>
  </w:style>
  <w:style w:type="character" w:customStyle="1" w:styleId="ab">
    <w:name w:val="（一）或標題三 字元"/>
    <w:link w:val="aa"/>
    <w:rsid w:val="006C4A5E"/>
    <w:rPr>
      <w:rFonts w:ascii="Times New Roman" w:eastAsia="標楷體" w:hAnsi="Times New Roman" w:cs="Times New Roman"/>
      <w:szCs w:val="24"/>
    </w:rPr>
  </w:style>
  <w:style w:type="paragraph" w:customStyle="1" w:styleId="10">
    <w:name w:val="1."/>
    <w:basedOn w:val="a"/>
    <w:link w:val="11"/>
    <w:rsid w:val="006C4A5E"/>
    <w:pPr>
      <w:spacing w:line="460" w:lineRule="exact"/>
      <w:ind w:leftChars="400" w:left="550" w:hangingChars="150" w:hanging="150"/>
      <w:jc w:val="both"/>
    </w:pPr>
    <w:rPr>
      <w:rFonts w:ascii="Times New Roman" w:eastAsia="標楷體" w:hAnsi="Times New Roman" w:cs="Times New Roman"/>
    </w:rPr>
  </w:style>
  <w:style w:type="character" w:customStyle="1" w:styleId="11">
    <w:name w:val="1. 字元"/>
    <w:link w:val="10"/>
    <w:rsid w:val="006C4A5E"/>
    <w:rPr>
      <w:rFonts w:ascii="Times New Roman" w:eastAsia="標楷體" w:hAnsi="Times New Roman" w:cs="Times New Roman"/>
      <w:szCs w:val="24"/>
    </w:rPr>
  </w:style>
  <w:style w:type="paragraph" w:customStyle="1" w:styleId="12">
    <w:name w:val="1.本文"/>
    <w:basedOn w:val="a"/>
    <w:link w:val="13"/>
    <w:rsid w:val="006C4A5E"/>
    <w:pPr>
      <w:spacing w:line="460" w:lineRule="exact"/>
      <w:ind w:leftChars="550" w:left="550" w:firstLineChars="200" w:firstLine="200"/>
      <w:jc w:val="both"/>
    </w:pPr>
    <w:rPr>
      <w:rFonts w:ascii="Times New Roman" w:eastAsia="標楷體" w:hAnsi="Times New Roman" w:cs="Times New Roman"/>
    </w:rPr>
  </w:style>
  <w:style w:type="character" w:customStyle="1" w:styleId="13">
    <w:name w:val="1.本文 字元"/>
    <w:link w:val="12"/>
    <w:rsid w:val="006C4A5E"/>
    <w:rPr>
      <w:rFonts w:ascii="Times New Roman" w:eastAsia="標楷體" w:hAnsi="Times New Roman" w:cs="Times New Roman"/>
      <w:szCs w:val="24"/>
    </w:rPr>
  </w:style>
  <w:style w:type="table" w:styleId="ac">
    <w:name w:val="Table Grid"/>
    <w:basedOn w:val="a1"/>
    <w:uiPriority w:val="59"/>
    <w:rsid w:val="006C4A5E"/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29715-3104-4879-A38E-9996A7B5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夏碩君</dc:creator>
  <cp:lastModifiedBy>ginalee</cp:lastModifiedBy>
  <cp:revision>2</cp:revision>
  <cp:lastPrinted>2017-09-13T07:06:00Z</cp:lastPrinted>
  <dcterms:created xsi:type="dcterms:W3CDTF">2017-09-19T09:26:00Z</dcterms:created>
  <dcterms:modified xsi:type="dcterms:W3CDTF">2017-09-19T09:26:00Z</dcterms:modified>
</cp:coreProperties>
</file>