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92" w:rsidRPr="00655048" w:rsidRDefault="00BD2892" w:rsidP="00D95434">
      <w:pPr>
        <w:spacing w:line="440" w:lineRule="exact"/>
        <w:rPr>
          <w:rFonts w:eastAsia="標楷體"/>
          <w:sz w:val="32"/>
          <w:szCs w:val="32"/>
        </w:rPr>
      </w:pPr>
      <w:bookmarkStart w:id="0" w:name="_GoBack"/>
      <w:bookmarkEnd w:id="0"/>
      <w:r w:rsidRPr="00655048">
        <w:rPr>
          <w:rFonts w:eastAsia="標楷體" w:hint="eastAsia"/>
          <w:sz w:val="32"/>
          <w:szCs w:val="32"/>
        </w:rPr>
        <w:t>附件</w:t>
      </w:r>
    </w:p>
    <w:p w:rsidR="00BD2892" w:rsidRPr="00D95434" w:rsidRDefault="00BD2892" w:rsidP="00655048">
      <w:pPr>
        <w:spacing w:line="440" w:lineRule="exact"/>
        <w:ind w:leftChars="200" w:left="480" w:firstLineChars="200" w:firstLine="640"/>
        <w:rPr>
          <w:rFonts w:eastAsia="標楷體"/>
          <w:sz w:val="32"/>
          <w:szCs w:val="32"/>
        </w:rPr>
      </w:pPr>
      <w:r w:rsidRPr="00655048">
        <w:rPr>
          <w:rFonts w:eastAsia="標楷體" w:hint="eastAsia"/>
          <w:sz w:val="32"/>
          <w:szCs w:val="32"/>
        </w:rPr>
        <w:t>環保署</w:t>
      </w:r>
      <w:r>
        <w:rPr>
          <w:rFonts w:eastAsia="標楷體" w:hint="eastAsia"/>
          <w:sz w:val="32"/>
          <w:szCs w:val="32"/>
        </w:rPr>
        <w:t>環境</w:t>
      </w:r>
      <w:r w:rsidRPr="00655048">
        <w:rPr>
          <w:rFonts w:eastAsia="標楷體" w:hint="eastAsia"/>
          <w:sz w:val="32"/>
          <w:szCs w:val="32"/>
        </w:rPr>
        <w:t>檢驗所本次</w:t>
      </w:r>
      <w:r w:rsidRPr="00D95434">
        <w:rPr>
          <w:rFonts w:eastAsia="標楷體" w:hint="eastAsia"/>
          <w:sz w:val="32"/>
          <w:szCs w:val="32"/>
        </w:rPr>
        <w:t>這次架設的儀器包括：</w:t>
      </w:r>
    </w:p>
    <w:p w:rsidR="00BD2892" w:rsidRPr="00655048" w:rsidRDefault="00BD2892" w:rsidP="00D95434">
      <w:pPr>
        <w:pStyle w:val="aa"/>
        <w:numPr>
          <w:ilvl w:val="0"/>
          <w:numId w:val="1"/>
        </w:numPr>
        <w:spacing w:line="440" w:lineRule="exact"/>
        <w:ind w:leftChars="0"/>
        <w:rPr>
          <w:rFonts w:eastAsia="標楷體"/>
          <w:sz w:val="32"/>
          <w:szCs w:val="32"/>
        </w:rPr>
      </w:pPr>
      <w:proofErr w:type="gramStart"/>
      <w:r w:rsidRPr="00655048">
        <w:rPr>
          <w:rFonts w:eastAsia="標楷體" w:hint="eastAsia"/>
          <w:sz w:val="32"/>
          <w:szCs w:val="32"/>
        </w:rPr>
        <w:t>氣膠化學</w:t>
      </w:r>
      <w:proofErr w:type="gramEnd"/>
      <w:r w:rsidRPr="00655048">
        <w:rPr>
          <w:rFonts w:eastAsia="標楷體" w:hint="eastAsia"/>
          <w:sz w:val="32"/>
          <w:szCs w:val="32"/>
        </w:rPr>
        <w:t>成分分析儀</w:t>
      </w:r>
      <w:r w:rsidRPr="00655048">
        <w:rPr>
          <w:rFonts w:ascii="標楷體" w:eastAsia="標楷體" w:hAnsi="標楷體" w:hint="eastAsia"/>
          <w:sz w:val="32"/>
          <w:szCs w:val="32"/>
        </w:rPr>
        <w:t>（</w:t>
      </w:r>
      <w:r w:rsidRPr="00655048">
        <w:rPr>
          <w:rFonts w:eastAsia="標楷體"/>
          <w:sz w:val="32"/>
          <w:szCs w:val="32"/>
        </w:rPr>
        <w:t>ACSM</w:t>
      </w:r>
      <w:r w:rsidRPr="00655048">
        <w:rPr>
          <w:rFonts w:ascii="標楷體" w:eastAsia="標楷體" w:hAnsi="標楷體" w:hint="eastAsia"/>
          <w:sz w:val="32"/>
          <w:szCs w:val="32"/>
        </w:rPr>
        <w:t>）</w:t>
      </w:r>
      <w:r w:rsidRPr="00655048">
        <w:rPr>
          <w:rFonts w:eastAsia="標楷體" w:hint="eastAsia"/>
          <w:sz w:val="32"/>
          <w:szCs w:val="32"/>
        </w:rPr>
        <w:t>：可</w:t>
      </w:r>
      <w:proofErr w:type="gramStart"/>
      <w:r w:rsidRPr="00655048">
        <w:rPr>
          <w:rFonts w:eastAsia="標楷體" w:hint="eastAsia"/>
          <w:sz w:val="32"/>
          <w:szCs w:val="32"/>
        </w:rPr>
        <w:t>分析氣膠</w:t>
      </w:r>
      <w:proofErr w:type="gramEnd"/>
      <w:r w:rsidRPr="00655048">
        <w:rPr>
          <w:rFonts w:eastAsia="標楷體" w:hint="eastAsia"/>
          <w:sz w:val="32"/>
          <w:szCs w:val="32"/>
        </w:rPr>
        <w:t>（</w:t>
      </w:r>
      <w:r w:rsidRPr="00655048">
        <w:rPr>
          <w:rFonts w:eastAsia="標楷體"/>
          <w:sz w:val="32"/>
          <w:szCs w:val="32"/>
        </w:rPr>
        <w:t>aerosol</w:t>
      </w:r>
      <w:r w:rsidRPr="00655048">
        <w:rPr>
          <w:rFonts w:eastAsia="標楷體" w:hint="eastAsia"/>
          <w:sz w:val="32"/>
          <w:szCs w:val="32"/>
        </w:rPr>
        <w:t>）的化學成分。</w:t>
      </w:r>
    </w:p>
    <w:p w:rsidR="00BD2892" w:rsidRPr="00655048" w:rsidRDefault="00BD2892" w:rsidP="00D95434">
      <w:pPr>
        <w:pStyle w:val="aa"/>
        <w:numPr>
          <w:ilvl w:val="0"/>
          <w:numId w:val="1"/>
        </w:numPr>
        <w:spacing w:line="440" w:lineRule="exact"/>
        <w:ind w:leftChars="0"/>
        <w:rPr>
          <w:rFonts w:eastAsia="標楷體"/>
          <w:sz w:val="32"/>
          <w:szCs w:val="32"/>
        </w:rPr>
      </w:pPr>
      <w:r w:rsidRPr="00655048">
        <w:rPr>
          <w:rFonts w:eastAsia="標楷體" w:hint="eastAsia"/>
          <w:sz w:val="32"/>
          <w:szCs w:val="32"/>
        </w:rPr>
        <w:t>大流量</w:t>
      </w:r>
      <w:r w:rsidRPr="00655048">
        <w:rPr>
          <w:rFonts w:eastAsia="標楷體"/>
          <w:sz w:val="32"/>
          <w:szCs w:val="32"/>
        </w:rPr>
        <w:t>PM</w:t>
      </w:r>
      <w:r w:rsidRPr="00655048">
        <w:rPr>
          <w:rFonts w:eastAsia="標楷體"/>
          <w:sz w:val="32"/>
          <w:szCs w:val="32"/>
          <w:vertAlign w:val="subscript"/>
        </w:rPr>
        <w:t>2.5</w:t>
      </w:r>
      <w:r w:rsidRPr="00655048">
        <w:rPr>
          <w:rFonts w:eastAsia="標楷體" w:hint="eastAsia"/>
          <w:sz w:val="32"/>
          <w:szCs w:val="32"/>
        </w:rPr>
        <w:t>全自動</w:t>
      </w:r>
      <w:proofErr w:type="gramStart"/>
      <w:r w:rsidRPr="00655048">
        <w:rPr>
          <w:rFonts w:eastAsia="標楷體" w:hint="eastAsia"/>
          <w:sz w:val="32"/>
          <w:szCs w:val="32"/>
        </w:rPr>
        <w:t>採樣器</w:t>
      </w:r>
      <w:proofErr w:type="gramEnd"/>
      <w:r w:rsidRPr="00655048">
        <w:rPr>
          <w:rFonts w:eastAsia="標楷體" w:hint="eastAsia"/>
          <w:sz w:val="32"/>
          <w:szCs w:val="32"/>
        </w:rPr>
        <w:t>：採集</w:t>
      </w:r>
      <w:r w:rsidRPr="00655048">
        <w:rPr>
          <w:rFonts w:eastAsia="標楷體"/>
          <w:sz w:val="32"/>
          <w:szCs w:val="32"/>
        </w:rPr>
        <w:t>PM</w:t>
      </w:r>
      <w:r w:rsidRPr="00655048">
        <w:rPr>
          <w:rFonts w:eastAsia="標楷體"/>
          <w:sz w:val="32"/>
          <w:szCs w:val="32"/>
          <w:vertAlign w:val="subscript"/>
        </w:rPr>
        <w:t>2.5</w:t>
      </w:r>
      <w:r w:rsidRPr="00655048">
        <w:rPr>
          <w:rFonts w:eastAsia="標楷體" w:hint="eastAsia"/>
          <w:sz w:val="32"/>
          <w:szCs w:val="32"/>
        </w:rPr>
        <w:t>樣品進行成分分析。</w:t>
      </w:r>
    </w:p>
    <w:p w:rsidR="00BD2892" w:rsidRPr="00655048" w:rsidRDefault="00BD2892" w:rsidP="00D95434">
      <w:pPr>
        <w:pStyle w:val="aa"/>
        <w:numPr>
          <w:ilvl w:val="0"/>
          <w:numId w:val="1"/>
        </w:numPr>
        <w:spacing w:line="440" w:lineRule="exact"/>
        <w:ind w:leftChars="0"/>
        <w:rPr>
          <w:rFonts w:eastAsia="標楷體"/>
          <w:sz w:val="32"/>
          <w:szCs w:val="32"/>
        </w:rPr>
      </w:pPr>
      <w:r w:rsidRPr="00655048">
        <w:rPr>
          <w:rFonts w:eastAsia="標楷體"/>
          <w:sz w:val="32"/>
          <w:szCs w:val="32"/>
        </w:rPr>
        <w:t>PM</w:t>
      </w:r>
      <w:r w:rsidRPr="00655048">
        <w:rPr>
          <w:rFonts w:eastAsia="標楷體"/>
          <w:sz w:val="32"/>
          <w:szCs w:val="32"/>
          <w:vertAlign w:val="subscript"/>
        </w:rPr>
        <w:t>2.5</w:t>
      </w:r>
      <w:r w:rsidRPr="00655048">
        <w:rPr>
          <w:rFonts w:eastAsia="標楷體" w:hint="eastAsia"/>
          <w:sz w:val="32"/>
          <w:szCs w:val="32"/>
        </w:rPr>
        <w:t>手動</w:t>
      </w:r>
      <w:proofErr w:type="gramStart"/>
      <w:r w:rsidRPr="00655048">
        <w:rPr>
          <w:rFonts w:eastAsia="標楷體" w:hint="eastAsia"/>
          <w:sz w:val="32"/>
          <w:szCs w:val="32"/>
        </w:rPr>
        <w:t>採樣器</w:t>
      </w:r>
      <w:proofErr w:type="gramEnd"/>
      <w:r w:rsidRPr="00655048">
        <w:rPr>
          <w:rFonts w:eastAsia="標楷體" w:hint="eastAsia"/>
          <w:sz w:val="32"/>
          <w:szCs w:val="32"/>
        </w:rPr>
        <w:t>：採集並分析</w:t>
      </w:r>
      <w:r w:rsidRPr="00655048">
        <w:rPr>
          <w:rFonts w:eastAsia="標楷體"/>
          <w:sz w:val="32"/>
          <w:szCs w:val="32"/>
        </w:rPr>
        <w:t>PM</w:t>
      </w:r>
      <w:r w:rsidRPr="00655048">
        <w:rPr>
          <w:rFonts w:eastAsia="標楷體"/>
          <w:sz w:val="32"/>
          <w:szCs w:val="32"/>
          <w:vertAlign w:val="subscript"/>
        </w:rPr>
        <w:t>2.5</w:t>
      </w:r>
      <w:r w:rsidRPr="00655048">
        <w:rPr>
          <w:rFonts w:eastAsia="標楷體" w:hint="eastAsia"/>
          <w:sz w:val="32"/>
          <w:szCs w:val="32"/>
        </w:rPr>
        <w:t>質量濃度。</w:t>
      </w:r>
    </w:p>
    <w:p w:rsidR="00BD2892" w:rsidRPr="00655048" w:rsidRDefault="00BD2892" w:rsidP="00D95434">
      <w:pPr>
        <w:pStyle w:val="aa"/>
        <w:numPr>
          <w:ilvl w:val="0"/>
          <w:numId w:val="1"/>
        </w:numPr>
        <w:spacing w:line="440" w:lineRule="exact"/>
        <w:ind w:leftChars="0"/>
        <w:rPr>
          <w:rFonts w:eastAsia="標楷體"/>
          <w:sz w:val="32"/>
          <w:szCs w:val="32"/>
        </w:rPr>
      </w:pPr>
      <w:r w:rsidRPr="00655048">
        <w:rPr>
          <w:rFonts w:eastAsia="標楷體" w:hint="eastAsia"/>
          <w:sz w:val="32"/>
          <w:szCs w:val="32"/>
        </w:rPr>
        <w:t>微粒</w:t>
      </w:r>
      <w:proofErr w:type="gramStart"/>
      <w:r w:rsidRPr="00655048">
        <w:rPr>
          <w:rFonts w:eastAsia="標楷體" w:hint="eastAsia"/>
          <w:sz w:val="32"/>
          <w:szCs w:val="32"/>
        </w:rPr>
        <w:t>粒</w:t>
      </w:r>
      <w:proofErr w:type="gramEnd"/>
      <w:r w:rsidRPr="00655048">
        <w:rPr>
          <w:rFonts w:eastAsia="標楷體" w:hint="eastAsia"/>
          <w:sz w:val="32"/>
          <w:szCs w:val="32"/>
        </w:rPr>
        <w:t>徑分佈</w:t>
      </w:r>
      <w:proofErr w:type="gramStart"/>
      <w:r w:rsidRPr="00655048">
        <w:rPr>
          <w:rFonts w:eastAsia="標楷體" w:hint="eastAsia"/>
          <w:sz w:val="32"/>
          <w:szCs w:val="32"/>
        </w:rPr>
        <w:t>採樣器</w:t>
      </w:r>
      <w:proofErr w:type="gramEnd"/>
      <w:r w:rsidRPr="00655048">
        <w:rPr>
          <w:rFonts w:eastAsia="標楷體" w:hint="eastAsia"/>
          <w:sz w:val="32"/>
          <w:szCs w:val="32"/>
        </w:rPr>
        <w:t>：採集空氣中懸浮微粒並</w:t>
      </w:r>
      <w:proofErr w:type="gramStart"/>
      <w:r w:rsidRPr="00655048">
        <w:rPr>
          <w:rFonts w:eastAsia="標楷體" w:hint="eastAsia"/>
          <w:sz w:val="32"/>
          <w:szCs w:val="32"/>
        </w:rPr>
        <w:t>分析其粒徑</w:t>
      </w:r>
      <w:proofErr w:type="gramEnd"/>
      <w:r w:rsidRPr="00655048">
        <w:rPr>
          <w:rFonts w:eastAsia="標楷體" w:hint="eastAsia"/>
          <w:sz w:val="32"/>
          <w:szCs w:val="32"/>
        </w:rPr>
        <w:t>分布。</w:t>
      </w:r>
    </w:p>
    <w:p w:rsidR="00BD2892" w:rsidRPr="00655048" w:rsidRDefault="00BD2892" w:rsidP="00D95434">
      <w:pPr>
        <w:pStyle w:val="aa"/>
        <w:numPr>
          <w:ilvl w:val="0"/>
          <w:numId w:val="1"/>
        </w:numPr>
        <w:spacing w:line="440" w:lineRule="exact"/>
        <w:ind w:leftChars="0"/>
        <w:rPr>
          <w:rFonts w:eastAsia="標楷體"/>
          <w:sz w:val="32"/>
          <w:szCs w:val="32"/>
        </w:rPr>
      </w:pPr>
      <w:r w:rsidRPr="00655048">
        <w:rPr>
          <w:rFonts w:eastAsia="標楷體" w:hint="eastAsia"/>
          <w:sz w:val="32"/>
          <w:szCs w:val="32"/>
        </w:rPr>
        <w:t>質子轉移反應質譜儀</w:t>
      </w:r>
      <w:r w:rsidRPr="00655048">
        <w:rPr>
          <w:rFonts w:eastAsia="標楷體"/>
          <w:sz w:val="32"/>
          <w:szCs w:val="32"/>
        </w:rPr>
        <w:t>(PTR-MS)</w:t>
      </w:r>
      <w:r w:rsidRPr="00655048">
        <w:rPr>
          <w:rFonts w:eastAsia="標楷體" w:hint="eastAsia"/>
          <w:sz w:val="32"/>
          <w:szCs w:val="32"/>
        </w:rPr>
        <w:t>：連續即時監測空氣中氣狀污染物種類與濃度等。</w:t>
      </w:r>
    </w:p>
    <w:p w:rsidR="00BD2892" w:rsidRDefault="00BD2892"/>
    <w:p w:rsidR="00BD2892" w:rsidRDefault="00BD2892" w:rsidP="00655048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proofErr w:type="gramStart"/>
      <w:r w:rsidRPr="00655048">
        <w:rPr>
          <w:rFonts w:ascii="標楷體" w:eastAsia="標楷體" w:hAnsi="標楷體" w:hint="eastAsia"/>
          <w:sz w:val="32"/>
          <w:szCs w:val="32"/>
        </w:rPr>
        <w:t>註一</w:t>
      </w:r>
      <w:proofErr w:type="gramEnd"/>
      <w:r w:rsidRPr="00D95434">
        <w:rPr>
          <w:rFonts w:ascii="標楷體" w:eastAsia="標楷體" w:hAnsi="標楷體" w:hint="eastAsia"/>
          <w:sz w:val="32"/>
          <w:szCs w:val="32"/>
        </w:rPr>
        <w:t>：氧化</w:t>
      </w:r>
      <w:proofErr w:type="gramStart"/>
      <w:r w:rsidRPr="00D95434">
        <w:rPr>
          <w:rFonts w:ascii="標楷體" w:eastAsia="標楷體" w:hAnsi="標楷體" w:hint="eastAsia"/>
          <w:sz w:val="32"/>
          <w:szCs w:val="32"/>
        </w:rPr>
        <w:t>有機氣膠</w:t>
      </w:r>
      <w:proofErr w:type="gramEnd"/>
      <w:r w:rsidRPr="00D95434">
        <w:rPr>
          <w:rFonts w:ascii="標楷體" w:eastAsia="標楷體" w:hAnsi="標楷體" w:hint="eastAsia"/>
          <w:sz w:val="32"/>
          <w:szCs w:val="32"/>
        </w:rPr>
        <w:t>（二次有機氣膠）為揮發性有機物</w:t>
      </w:r>
      <w:r w:rsidRPr="00D95434">
        <w:rPr>
          <w:rFonts w:ascii="標楷體" w:eastAsia="標楷體" w:hAnsi="標楷體"/>
          <w:sz w:val="32"/>
          <w:szCs w:val="32"/>
        </w:rPr>
        <w:t>(VOCs)</w:t>
      </w:r>
      <w:r w:rsidRPr="00D95434">
        <w:rPr>
          <w:rFonts w:ascii="標楷體" w:eastAsia="標楷體" w:hAnsi="標楷體" w:hint="eastAsia"/>
          <w:sz w:val="32"/>
          <w:szCs w:val="32"/>
        </w:rPr>
        <w:t>經光化學氧化反應所形成。</w:t>
      </w:r>
    </w:p>
    <w:p w:rsidR="00BD2892" w:rsidRDefault="00BD289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745"/>
        <w:gridCol w:w="1743"/>
        <w:gridCol w:w="1801"/>
        <w:gridCol w:w="1935"/>
        <w:gridCol w:w="1892"/>
      </w:tblGrid>
      <w:tr w:rsidR="00BD2892" w:rsidRPr="00157933" w:rsidTr="008619EF">
        <w:trPr>
          <w:trHeight w:val="330"/>
          <w:jc w:val="center"/>
        </w:trPr>
        <w:tc>
          <w:tcPr>
            <w:tcW w:w="1260" w:type="dxa"/>
            <w:tcBorders>
              <w:bottom w:val="double" w:sz="4" w:space="0" w:color="auto"/>
            </w:tcBorders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lastRenderedPageBreak/>
              <w:t>氣態空氣污染物現場即時監測設備</w:t>
            </w:r>
          </w:p>
        </w:tc>
        <w:tc>
          <w:tcPr>
            <w:tcW w:w="1745" w:type="dxa"/>
            <w:tcBorders>
              <w:bottom w:val="double" w:sz="4" w:space="0" w:color="auto"/>
            </w:tcBorders>
            <w:noWrap/>
          </w:tcPr>
          <w:p w:rsidR="00BD2892" w:rsidRDefault="00BD2892" w:rsidP="008619EF">
            <w:pPr>
              <w:jc w:val="both"/>
              <w:rPr>
                <w:rFonts w:ascii="新細明體" w:hAns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/>
                <w:b/>
                <w:sz w:val="20"/>
                <w:szCs w:val="20"/>
              </w:rPr>
              <w:t>PTR-Q-MS</w:t>
            </w:r>
          </w:p>
          <w:p w:rsidR="00BD2892" w:rsidRPr="00157933" w:rsidRDefault="007165DE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cs="新細明體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38225" cy="1381125"/>
                  <wp:effectExtent l="0" t="0" r="9525" b="9525"/>
                  <wp:docPr id="83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dxa"/>
            <w:tcBorders>
              <w:bottom w:val="double" w:sz="4" w:space="0" w:color="auto"/>
            </w:tcBorders>
            <w:noWrap/>
          </w:tcPr>
          <w:p w:rsidR="00BD2892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/>
                <w:b/>
                <w:sz w:val="20"/>
                <w:szCs w:val="20"/>
              </w:rPr>
              <w:t>PTR-</w:t>
            </w:r>
            <w:proofErr w:type="spellStart"/>
            <w:r>
              <w:rPr>
                <w:rFonts w:ascii="新細明體" w:hAnsi="新細明體" w:cs="新細明體"/>
                <w:b/>
                <w:sz w:val="20"/>
                <w:szCs w:val="20"/>
              </w:rPr>
              <w:t>ToF</w:t>
            </w:r>
            <w:proofErr w:type="spellEnd"/>
            <w:r>
              <w:rPr>
                <w:rFonts w:ascii="新細明體" w:hAnsi="新細明體" w:cs="新細明體"/>
                <w:b/>
                <w:sz w:val="20"/>
                <w:szCs w:val="20"/>
              </w:rPr>
              <w:t>-MS</w:t>
            </w:r>
          </w:p>
          <w:p w:rsidR="00BD2892" w:rsidRDefault="007165DE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cs="新細明體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57275" cy="1409700"/>
                  <wp:effectExtent l="0" t="0" r="9525" b="0"/>
                  <wp:docPr id="84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892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  <w:noWrap/>
          </w:tcPr>
          <w:p w:rsidR="00BD2892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/>
                <w:b/>
                <w:sz w:val="20"/>
                <w:szCs w:val="20"/>
              </w:rPr>
              <w:t>SCI-</w:t>
            </w:r>
            <w:proofErr w:type="spellStart"/>
            <w:r>
              <w:rPr>
                <w:rFonts w:ascii="新細明體" w:hAnsi="新細明體" w:cs="新細明體"/>
                <w:b/>
                <w:sz w:val="20"/>
                <w:szCs w:val="20"/>
              </w:rPr>
              <w:t>ToF</w:t>
            </w:r>
            <w:proofErr w:type="spellEnd"/>
            <w:r>
              <w:rPr>
                <w:rFonts w:ascii="新細明體" w:hAnsi="新細明體" w:cs="新細明體"/>
                <w:b/>
                <w:sz w:val="20"/>
                <w:szCs w:val="20"/>
              </w:rPr>
              <w:t>-MS</w:t>
            </w:r>
          </w:p>
          <w:p w:rsidR="00BD2892" w:rsidRPr="00157933" w:rsidRDefault="007165DE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cs="新細明體"/>
                <w:b/>
                <w:noProof/>
                <w:sz w:val="20"/>
                <w:szCs w:val="20"/>
              </w:rPr>
              <w:drawing>
                <wp:inline distT="0" distB="0" distL="0" distR="0">
                  <wp:extent cx="1057275" cy="1409700"/>
                  <wp:effectExtent l="0" t="0" r="9525" b="0"/>
                  <wp:docPr id="85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BD2892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>大流量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PM</w:t>
            </w:r>
            <w:r w:rsidRPr="00D92E80">
              <w:rPr>
                <w:rFonts w:ascii="新細明體" w:hAnsi="新細明體" w:cs="新細明體"/>
                <w:b/>
                <w:sz w:val="20"/>
                <w:szCs w:val="20"/>
                <w:vertAlign w:val="subscript"/>
              </w:rPr>
              <w:t>2.5</w:t>
            </w:r>
            <w:proofErr w:type="gramStart"/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>採</w:t>
            </w:r>
            <w:proofErr w:type="gramEnd"/>
            <w:r>
              <w:rPr>
                <w:rFonts w:ascii="新細明體" w:hAnsi="新細明體" w:cs="新細明體" w:hint="eastAsia"/>
                <w:b/>
                <w:sz w:val="20"/>
                <w:szCs w:val="20"/>
              </w:rPr>
              <w:t>樣器</w:t>
            </w:r>
          </w:p>
          <w:p w:rsidR="00BD2892" w:rsidRPr="00157933" w:rsidRDefault="007165DE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cs="新細明體"/>
                <w:b/>
                <w:noProof/>
                <w:sz w:val="20"/>
                <w:szCs w:val="20"/>
              </w:rPr>
              <w:drawing>
                <wp:inline distT="0" distB="0" distL="0" distR="0">
                  <wp:extent cx="885825" cy="2200275"/>
                  <wp:effectExtent l="0" t="0" r="9525" b="9525"/>
                  <wp:docPr id="90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2" w:type="dxa"/>
            <w:tcBorders>
              <w:bottom w:val="double" w:sz="4" w:space="0" w:color="auto"/>
            </w:tcBorders>
          </w:tcPr>
          <w:p w:rsidR="00BD2892" w:rsidRDefault="00BD2892" w:rsidP="008619EF">
            <w:pPr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hAnsi="新細明體" w:cs="新細明體"/>
                <w:b/>
                <w:sz w:val="20"/>
                <w:szCs w:val="20"/>
              </w:rPr>
              <w:t>ACSM</w:t>
            </w:r>
          </w:p>
          <w:p w:rsidR="00BD2892" w:rsidRPr="00157933" w:rsidRDefault="007165DE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>
              <w:rPr>
                <w:rFonts w:ascii="新細明體" w:cs="新細明體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52525" cy="1552575"/>
                  <wp:effectExtent l="0" t="0" r="9525" b="9525"/>
                  <wp:docPr id="8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892" w:rsidRPr="00F516A4" w:rsidTr="008619EF">
        <w:trPr>
          <w:trHeight w:val="660"/>
          <w:jc w:val="center"/>
        </w:trPr>
        <w:tc>
          <w:tcPr>
            <w:tcW w:w="1260" w:type="dxa"/>
            <w:tcBorders>
              <w:top w:val="double" w:sz="4" w:space="0" w:color="auto"/>
            </w:tcBorders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全名</w:t>
            </w:r>
          </w:p>
        </w:tc>
        <w:tc>
          <w:tcPr>
            <w:tcW w:w="1745" w:type="dxa"/>
            <w:tcBorders>
              <w:top w:val="double" w:sz="4" w:space="0" w:color="auto"/>
            </w:tcBorders>
            <w:noWrap/>
          </w:tcPr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 xml:space="preserve">Proton Transfer Reaction </w:t>
            </w:r>
            <w:r>
              <w:rPr>
                <w:rFonts w:ascii="新細明體" w:hAnsi="新細明體" w:cs="新細明體"/>
                <w:sz w:val="20"/>
                <w:szCs w:val="20"/>
              </w:rPr>
              <w:t>–</w:t>
            </w:r>
            <w:r w:rsidRPr="004D687B"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proofErr w:type="spellStart"/>
            <w:r w:rsidRPr="004D687B">
              <w:rPr>
                <w:rFonts w:ascii="新細明體" w:hAnsi="新細明體" w:cs="新細明體"/>
                <w:sz w:val="20"/>
                <w:szCs w:val="20"/>
              </w:rPr>
              <w:t>Quardrupole</w:t>
            </w:r>
            <w:proofErr w:type="spellEnd"/>
            <w:r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r w:rsidRPr="004D687B">
              <w:rPr>
                <w:rFonts w:ascii="新細明體" w:hAnsi="新細明體" w:cs="新細明體"/>
                <w:sz w:val="20"/>
                <w:szCs w:val="20"/>
              </w:rPr>
              <w:t>Mass Spectrometer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質子轉移反應</w:t>
            </w:r>
            <w:proofErr w:type="gramStart"/>
            <w:r w:rsidRPr="004D687B">
              <w:rPr>
                <w:rFonts w:ascii="新細明體" w:hAnsi="新細明體" w:cs="新細明體"/>
                <w:sz w:val="20"/>
                <w:szCs w:val="20"/>
              </w:rPr>
              <w:t>—</w:t>
            </w:r>
            <w:proofErr w:type="gramEnd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四</w:t>
            </w:r>
            <w:proofErr w:type="gramStart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極</w:t>
            </w:r>
            <w:proofErr w:type="gramEnd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矩式質譜儀</w:t>
            </w:r>
          </w:p>
        </w:tc>
        <w:tc>
          <w:tcPr>
            <w:tcW w:w="1743" w:type="dxa"/>
            <w:tcBorders>
              <w:top w:val="double" w:sz="4" w:space="0" w:color="auto"/>
            </w:tcBorders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 xml:space="preserve">Proton Transfer Reaction - Time of Fly Mass Spectrometer </w:t>
            </w:r>
            <w:r w:rsidRPr="00157933">
              <w:rPr>
                <w:rFonts w:ascii="新細明體" w:cs="新細明體"/>
                <w:sz w:val="20"/>
                <w:szCs w:val="20"/>
              </w:rPr>
              <w:br/>
            </w: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質子轉移反應</w:t>
            </w:r>
            <w:proofErr w:type="gramStart"/>
            <w:r w:rsidRPr="004D687B">
              <w:rPr>
                <w:rFonts w:ascii="新細明體" w:hAnsi="新細明體" w:cs="新細明體"/>
                <w:sz w:val="20"/>
                <w:szCs w:val="20"/>
              </w:rPr>
              <w:t>—</w:t>
            </w:r>
            <w:proofErr w:type="gramEnd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飛行時間質譜儀</w:t>
            </w:r>
          </w:p>
        </w:tc>
        <w:tc>
          <w:tcPr>
            <w:tcW w:w="1801" w:type="dxa"/>
            <w:tcBorders>
              <w:top w:val="double" w:sz="4" w:space="0" w:color="auto"/>
            </w:tcBorders>
            <w:noWrap/>
          </w:tcPr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>Soft Chemical Ionization - Time of Fly Mass Spectrometer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化學軟式游離飛行時間質譜儀</w:t>
            </w:r>
          </w:p>
        </w:tc>
        <w:tc>
          <w:tcPr>
            <w:tcW w:w="1935" w:type="dxa"/>
            <w:tcBorders>
              <w:top w:val="double" w:sz="4" w:space="0" w:color="auto"/>
            </w:tcBorders>
          </w:tcPr>
          <w:p w:rsidR="00BD2892" w:rsidRPr="004D687B" w:rsidRDefault="00BD2892" w:rsidP="008619EF">
            <w:pPr>
              <w:jc w:val="both"/>
              <w:rPr>
                <w:rFonts w:ascii="新細明體" w:cs="新細明體"/>
                <w:b/>
                <w:sz w:val="20"/>
                <w:szCs w:val="20"/>
              </w:rPr>
            </w:pPr>
            <w:r w:rsidRPr="004D687B">
              <w:rPr>
                <w:rFonts w:ascii="新細明體" w:hAnsi="新細明體" w:cs="新細明體" w:hint="eastAsia"/>
                <w:b/>
                <w:sz w:val="20"/>
                <w:szCs w:val="20"/>
              </w:rPr>
              <w:t>大流量</w:t>
            </w:r>
            <w:r w:rsidRPr="004D687B">
              <w:rPr>
                <w:rFonts w:ascii="新細明體" w:hAnsi="新細明體" w:cs="新細明體"/>
                <w:b/>
                <w:sz w:val="20"/>
                <w:szCs w:val="20"/>
              </w:rPr>
              <w:t>PM</w:t>
            </w:r>
            <w:r w:rsidRPr="004D687B">
              <w:rPr>
                <w:rFonts w:ascii="新細明體" w:hAnsi="新細明體" w:cs="新細明體"/>
                <w:b/>
                <w:sz w:val="20"/>
                <w:szCs w:val="20"/>
                <w:vertAlign w:val="subscript"/>
              </w:rPr>
              <w:t>2.5</w:t>
            </w:r>
            <w:proofErr w:type="gramStart"/>
            <w:r w:rsidRPr="004D687B">
              <w:rPr>
                <w:rFonts w:ascii="新細明體" w:hAnsi="新細明體" w:cs="新細明體" w:hint="eastAsia"/>
                <w:b/>
                <w:sz w:val="20"/>
                <w:szCs w:val="20"/>
              </w:rPr>
              <w:t>採</w:t>
            </w:r>
            <w:proofErr w:type="gramEnd"/>
            <w:r w:rsidRPr="004D687B">
              <w:rPr>
                <w:rFonts w:ascii="新細明體" w:hAnsi="新細明體" w:cs="新細明體" w:hint="eastAsia"/>
                <w:b/>
                <w:sz w:val="20"/>
                <w:szCs w:val="20"/>
              </w:rPr>
              <w:t>樣器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double" w:sz="4" w:space="0" w:color="auto"/>
            </w:tcBorders>
          </w:tcPr>
          <w:p w:rsidR="00BD2892" w:rsidRDefault="00BD2892" w:rsidP="008619EF">
            <w:pPr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>Aerosol Chemical Speciation Monitor, ACSM</w:t>
            </w:r>
          </w:p>
          <w:p w:rsidR="00BD2892" w:rsidRDefault="00BD2892" w:rsidP="008619EF">
            <w:pPr>
              <w:rPr>
                <w:rFonts w:ascii="新細明體" w:cs="新細明體"/>
                <w:sz w:val="20"/>
                <w:szCs w:val="20"/>
              </w:rPr>
            </w:pPr>
            <w:proofErr w:type="gramStart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氣膠化學</w:t>
            </w:r>
            <w:proofErr w:type="gramEnd"/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成分分析儀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</w:p>
        </w:tc>
      </w:tr>
      <w:tr w:rsidR="00BD2892" w:rsidRPr="00F516A4" w:rsidTr="008619EF">
        <w:trPr>
          <w:trHeight w:val="330"/>
          <w:jc w:val="center"/>
        </w:trPr>
        <w:tc>
          <w:tcPr>
            <w:tcW w:w="1260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偵測範圍</w:t>
            </w:r>
          </w:p>
        </w:tc>
        <w:tc>
          <w:tcPr>
            <w:tcW w:w="1745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20</w:t>
            </w: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到</w:t>
            </w:r>
            <w:r w:rsidRPr="00157933">
              <w:rPr>
                <w:rFonts w:ascii="新細明體" w:hAnsi="新細明體" w:cs="新細明體"/>
                <w:sz w:val="20"/>
                <w:szCs w:val="20"/>
              </w:rPr>
              <w:t>2</w:t>
            </w:r>
            <w:r>
              <w:rPr>
                <w:rFonts w:ascii="新細明體" w:hAnsi="新細明體" w:cs="新細明體"/>
                <w:sz w:val="20"/>
                <w:szCs w:val="20"/>
              </w:rPr>
              <w:t>50</w:t>
            </w: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新細明體" w:hAnsi="新細明體" w:cs="新細明體"/>
                <w:sz w:val="20"/>
                <w:szCs w:val="20"/>
              </w:rPr>
              <w:t>amu</w:t>
            </w:r>
            <w:proofErr w:type="spellEnd"/>
          </w:p>
        </w:tc>
        <w:tc>
          <w:tcPr>
            <w:tcW w:w="1743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>20</w:t>
            </w: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到</w:t>
            </w:r>
            <w:r>
              <w:rPr>
                <w:rFonts w:ascii="新細明體" w:hAnsi="新細明體" w:cs="新細明體"/>
                <w:sz w:val="20"/>
                <w:szCs w:val="20"/>
              </w:rPr>
              <w:t>400</w:t>
            </w:r>
            <w:r w:rsidRPr="004D687B"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proofErr w:type="spellStart"/>
            <w:r w:rsidRPr="004D687B">
              <w:rPr>
                <w:rFonts w:ascii="新細明體" w:hAnsi="新細明體" w:cs="新細明體"/>
                <w:sz w:val="20"/>
                <w:szCs w:val="20"/>
              </w:rPr>
              <w:t>amu</w:t>
            </w:r>
            <w:proofErr w:type="spellEnd"/>
          </w:p>
        </w:tc>
        <w:tc>
          <w:tcPr>
            <w:tcW w:w="1801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/>
                <w:sz w:val="20"/>
                <w:szCs w:val="20"/>
              </w:rPr>
              <w:t>20</w:t>
            </w: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到</w:t>
            </w:r>
            <w:r>
              <w:rPr>
                <w:rFonts w:ascii="新細明體" w:hAnsi="新細明體" w:cs="新細明體"/>
                <w:sz w:val="20"/>
                <w:szCs w:val="20"/>
              </w:rPr>
              <w:t>400</w:t>
            </w:r>
            <w:r w:rsidRPr="004D687B">
              <w:rPr>
                <w:rFonts w:ascii="新細明體" w:hAnsi="新細明體" w:cs="新細明體"/>
                <w:sz w:val="20"/>
                <w:szCs w:val="20"/>
              </w:rPr>
              <w:t xml:space="preserve"> </w:t>
            </w:r>
            <w:proofErr w:type="spellStart"/>
            <w:r w:rsidRPr="004D687B">
              <w:rPr>
                <w:rFonts w:ascii="新細明體" w:hAnsi="新細明體" w:cs="新細明體"/>
                <w:sz w:val="20"/>
                <w:szCs w:val="20"/>
              </w:rPr>
              <w:t>amu</w:t>
            </w:r>
            <w:proofErr w:type="spellEnd"/>
          </w:p>
        </w:tc>
        <w:tc>
          <w:tcPr>
            <w:tcW w:w="193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 xml:space="preserve">0-200 </w:t>
            </w:r>
            <w:proofErr w:type="spellStart"/>
            <w:r>
              <w:rPr>
                <w:rFonts w:ascii="新細明體" w:hAnsi="新細明體" w:cs="新細明體"/>
                <w:sz w:val="20"/>
                <w:szCs w:val="20"/>
              </w:rPr>
              <w:t>ug</w:t>
            </w:r>
            <w:proofErr w:type="spellEnd"/>
            <w:r>
              <w:rPr>
                <w:rFonts w:ascii="新細明體" w:hAnsi="新細明體" w:cs="新細明體"/>
                <w:sz w:val="20"/>
                <w:szCs w:val="20"/>
              </w:rPr>
              <w:t>/m</w:t>
            </w:r>
            <w:r w:rsidRPr="004D687B">
              <w:rPr>
                <w:rFonts w:ascii="新細明體" w:hAnsi="新細明體" w:cs="新細明體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92" w:type="dxa"/>
          </w:tcPr>
          <w:p w:rsidR="00BD2892" w:rsidRDefault="00BD2892" w:rsidP="008619EF">
            <w:pPr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無範圍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</w:p>
        </w:tc>
      </w:tr>
      <w:tr w:rsidR="00BD2892" w:rsidRPr="00F516A4" w:rsidTr="008619EF">
        <w:trPr>
          <w:trHeight w:val="660"/>
          <w:jc w:val="center"/>
        </w:trPr>
        <w:tc>
          <w:tcPr>
            <w:tcW w:w="1260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原理</w:t>
            </w:r>
          </w:p>
        </w:tc>
        <w:tc>
          <w:tcPr>
            <w:tcW w:w="174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以水當離子源，將污染物離子化後以四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極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矩式質譜儀分析</w:t>
            </w:r>
          </w:p>
        </w:tc>
        <w:tc>
          <w:tcPr>
            <w:tcW w:w="1743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以水當離子源，將污染物離子化後以飛行時間質譜儀分析</w:t>
            </w:r>
          </w:p>
        </w:tc>
        <w:tc>
          <w:tcPr>
            <w:tcW w:w="1801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以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氧氣</w:t>
            </w:r>
            <w:r w:rsidRPr="004D687B">
              <w:rPr>
                <w:rFonts w:ascii="新細明體" w:hAnsi="新細明體" w:cs="新細明體" w:hint="eastAsia"/>
                <w:sz w:val="20"/>
                <w:szCs w:val="20"/>
              </w:rPr>
              <w:t>當離子源，將污染物離子化後以飛行時間質譜儀分析</w:t>
            </w:r>
          </w:p>
        </w:tc>
        <w:tc>
          <w:tcPr>
            <w:tcW w:w="193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以</w:t>
            </w:r>
            <w:r>
              <w:rPr>
                <w:rFonts w:ascii="新細明體" w:hAnsi="新細明體" w:cs="新細明體"/>
                <w:sz w:val="20"/>
                <w:szCs w:val="20"/>
              </w:rPr>
              <w:t>500L/min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的流量抽引，藉由衝擊版將</w:t>
            </w:r>
            <w:r>
              <w:rPr>
                <w:rFonts w:ascii="新細明體" w:hAnsi="新細明體" w:cs="新細明體"/>
                <w:sz w:val="20"/>
                <w:szCs w:val="20"/>
              </w:rPr>
              <w:t>PM</w:t>
            </w:r>
            <w:r w:rsidRPr="00A034E8">
              <w:rPr>
                <w:rFonts w:ascii="新細明體" w:hAnsi="新細明體" w:cs="新細明體"/>
                <w:sz w:val="20"/>
                <w:szCs w:val="20"/>
                <w:vertAlign w:val="subscript"/>
              </w:rPr>
              <w:t>2.5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分離後以石英濾紙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採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樣</w:t>
            </w:r>
          </w:p>
        </w:tc>
        <w:tc>
          <w:tcPr>
            <w:tcW w:w="1892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sz w:val="20"/>
                <w:szCs w:val="20"/>
              </w:rPr>
              <w:t>將</w:t>
            </w:r>
            <w:r>
              <w:rPr>
                <w:rFonts w:ascii="新細明體" w:hAnsi="新細明體" w:cs="新細明體"/>
                <w:sz w:val="20"/>
                <w:szCs w:val="20"/>
              </w:rPr>
              <w:t>PM</w:t>
            </w:r>
            <w:r w:rsidRPr="00A034E8">
              <w:rPr>
                <w:rFonts w:ascii="新細明體" w:hAnsi="新細明體" w:cs="新細明體"/>
                <w:sz w:val="20"/>
                <w:szCs w:val="20"/>
                <w:vertAlign w:val="subscript"/>
              </w:rPr>
              <w:t>2.5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顆粒分離</w:t>
            </w:r>
            <w:r w:rsidRPr="00A034E8">
              <w:rPr>
                <w:rFonts w:ascii="新細明體" w:hAnsi="新細明體" w:cs="新細明體" w:hint="eastAsia"/>
                <w:sz w:val="20"/>
                <w:szCs w:val="20"/>
              </w:rPr>
              <w:t>以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電子撞擊後再以</w:t>
            </w:r>
            <w:r w:rsidRPr="00A034E8">
              <w:rPr>
                <w:rFonts w:ascii="新細明體" w:hAnsi="新細明體" w:cs="新細明體" w:hint="eastAsia"/>
                <w:sz w:val="20"/>
                <w:szCs w:val="20"/>
              </w:rPr>
              <w:t>四</w:t>
            </w:r>
            <w:proofErr w:type="gramStart"/>
            <w:r w:rsidRPr="00A034E8">
              <w:rPr>
                <w:rFonts w:ascii="新細明體" w:hAnsi="新細明體" w:cs="新細明體" w:hint="eastAsia"/>
                <w:sz w:val="20"/>
                <w:szCs w:val="20"/>
              </w:rPr>
              <w:t>極</w:t>
            </w:r>
            <w:proofErr w:type="gramEnd"/>
            <w:r w:rsidRPr="00A034E8">
              <w:rPr>
                <w:rFonts w:ascii="新細明體" w:hAnsi="新細明體" w:cs="新細明體" w:hint="eastAsia"/>
                <w:sz w:val="20"/>
                <w:szCs w:val="20"/>
              </w:rPr>
              <w:t>矩式質譜儀分析</w:t>
            </w:r>
          </w:p>
        </w:tc>
      </w:tr>
      <w:tr w:rsidR="00BD2892" w:rsidRPr="00F516A4" w:rsidTr="008619EF">
        <w:trPr>
          <w:trHeight w:val="1320"/>
          <w:jc w:val="center"/>
        </w:trPr>
        <w:tc>
          <w:tcPr>
            <w:tcW w:w="1260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優點及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特性</w:t>
            </w:r>
          </w:p>
        </w:tc>
        <w:tc>
          <w:tcPr>
            <w:tcW w:w="1745" w:type="dxa"/>
          </w:tcPr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1. 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約</w:t>
            </w:r>
            <w:r>
              <w:rPr>
                <w:rFonts w:ascii="新細明體" w:hAnsi="新細明體" w:cs="新細明體"/>
                <w:sz w:val="20"/>
                <w:szCs w:val="20"/>
              </w:rPr>
              <w:t>2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分鐘掃描一次</w:t>
            </w:r>
          </w:p>
          <w:p w:rsidR="00BD2892" w:rsidRDefault="00BD2892" w:rsidP="008619E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2. </w:t>
            </w: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測值為</w:t>
            </w:r>
            <w:r>
              <w:rPr>
                <w:rFonts w:ascii="新細明體" w:hAnsi="新細明體" w:cs="新細明體"/>
                <w:sz w:val="20"/>
                <w:szCs w:val="20"/>
              </w:rPr>
              <w:t>ppb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. 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質量解析至整數位</w:t>
            </w:r>
          </w:p>
        </w:tc>
        <w:tc>
          <w:tcPr>
            <w:tcW w:w="1743" w:type="dxa"/>
          </w:tcPr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1. </w:t>
            </w: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分鐘可掃描</w:t>
            </w:r>
            <w:r>
              <w:rPr>
                <w:rFonts w:ascii="新細明體" w:hAnsi="新細明體" w:cs="新細明體"/>
                <w:sz w:val="20"/>
                <w:szCs w:val="20"/>
              </w:rPr>
              <w:t>84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萬次累積成一筆數據</w:t>
            </w:r>
          </w:p>
          <w:p w:rsidR="00BD2892" w:rsidRDefault="00BD2892" w:rsidP="008619E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2. </w:t>
            </w: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測值為</w:t>
            </w:r>
            <w:r>
              <w:rPr>
                <w:rFonts w:ascii="新細明體" w:hAnsi="新細明體" w:cs="新細明體"/>
                <w:sz w:val="20"/>
                <w:szCs w:val="20"/>
              </w:rPr>
              <w:t>ppb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157933">
              <w:rPr>
                <w:rFonts w:ascii="新細明體" w:hAnsi="新細明體" w:cs="新細明體"/>
                <w:sz w:val="20"/>
                <w:szCs w:val="20"/>
              </w:rPr>
              <w:t xml:space="preserve">. 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質量解析至小數點第</w:t>
            </w:r>
            <w:r>
              <w:rPr>
                <w:rFonts w:ascii="新細明體" w:hAnsi="新細明體" w:cs="新細明體"/>
                <w:sz w:val="20"/>
                <w:szCs w:val="20"/>
              </w:rPr>
              <w:t>3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位</w:t>
            </w:r>
          </w:p>
        </w:tc>
        <w:tc>
          <w:tcPr>
            <w:tcW w:w="1801" w:type="dxa"/>
            <w:noWrap/>
          </w:tcPr>
          <w:p w:rsidR="00BD2892" w:rsidRPr="00F72446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F72446">
              <w:rPr>
                <w:rFonts w:ascii="新細明體" w:hAnsi="新細明體" w:cs="新細明體"/>
                <w:sz w:val="20"/>
                <w:szCs w:val="20"/>
              </w:rPr>
              <w:t>1. 1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分鐘可掃描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84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萬次累積成一筆數據</w:t>
            </w:r>
          </w:p>
          <w:p w:rsidR="00BD2892" w:rsidRPr="00F72446" w:rsidRDefault="00BD2892" w:rsidP="008619EF">
            <w:pPr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F72446">
              <w:rPr>
                <w:rFonts w:ascii="新細明體" w:hAnsi="新細明體" w:cs="新細明體"/>
                <w:sz w:val="20"/>
                <w:szCs w:val="20"/>
              </w:rPr>
              <w:t xml:space="preserve">2. 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測值為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ppb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F72446">
              <w:rPr>
                <w:rFonts w:ascii="新細明體" w:hAnsi="新細明體" w:cs="新細明體"/>
                <w:sz w:val="20"/>
                <w:szCs w:val="20"/>
              </w:rPr>
              <w:t xml:space="preserve">3. 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質量解析至小數點第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位</w:t>
            </w:r>
          </w:p>
        </w:tc>
        <w:tc>
          <w:tcPr>
            <w:tcW w:w="193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>1.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抽引速度快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/>
                <w:sz w:val="20"/>
                <w:szCs w:val="20"/>
              </w:rPr>
              <w:t>2.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採樣量</w:t>
            </w:r>
            <w:proofErr w:type="gramEnd"/>
            <w:r>
              <w:rPr>
                <w:rFonts w:ascii="新細明體" w:hAnsi="新細明體" w:cs="新細明體" w:hint="eastAsia"/>
                <w:sz w:val="20"/>
                <w:szCs w:val="20"/>
              </w:rPr>
              <w:t>大適合成分分析使用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</w:p>
        </w:tc>
        <w:tc>
          <w:tcPr>
            <w:tcW w:w="1892" w:type="dxa"/>
          </w:tcPr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1.15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分鐘測定一筆</w:t>
            </w:r>
          </w:p>
          <w:p w:rsidR="00BD2892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可同時測定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有機物、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NH</w:t>
            </w:r>
            <w:r w:rsidRPr="00F72446">
              <w:rPr>
                <w:rFonts w:ascii="新細明體" w:hAnsi="新細明體" w:cs="新細明體"/>
                <w:sz w:val="20"/>
                <w:szCs w:val="20"/>
                <w:vertAlign w:val="subscript"/>
              </w:rPr>
              <w:t>4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、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NO</w:t>
            </w:r>
            <w:r w:rsidRPr="00F72446">
              <w:rPr>
                <w:rFonts w:ascii="新細明體" w:hAnsi="新細明體" w:cs="新細明體"/>
                <w:sz w:val="20"/>
                <w:szCs w:val="20"/>
                <w:vertAlign w:val="subscript"/>
              </w:rPr>
              <w:t>3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、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SO</w:t>
            </w:r>
            <w:r w:rsidRPr="00F72446">
              <w:rPr>
                <w:rFonts w:ascii="新細明體" w:hAnsi="新細明體" w:cs="新細明體"/>
                <w:sz w:val="20"/>
                <w:szCs w:val="20"/>
                <w:vertAlign w:val="subscript"/>
              </w:rPr>
              <w:t>4</w:t>
            </w:r>
            <w:r w:rsidRPr="00F72446">
              <w:rPr>
                <w:rFonts w:ascii="新細明體" w:hAnsi="新細明體" w:cs="新細明體" w:hint="eastAsia"/>
                <w:sz w:val="20"/>
                <w:szCs w:val="20"/>
              </w:rPr>
              <w:t>及</w:t>
            </w:r>
            <w:r w:rsidRPr="00F72446">
              <w:rPr>
                <w:rFonts w:ascii="新細明體" w:hAnsi="新細明體" w:cs="新細明體"/>
                <w:sz w:val="20"/>
                <w:szCs w:val="20"/>
              </w:rPr>
              <w:t>Cl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3.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可分析為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一次氣膠或二次氣膠污染</w:t>
            </w:r>
            <w:proofErr w:type="gramEnd"/>
          </w:p>
        </w:tc>
      </w:tr>
      <w:tr w:rsidR="00BD2892" w:rsidRPr="00F516A4" w:rsidTr="008619EF">
        <w:trPr>
          <w:trHeight w:val="660"/>
          <w:jc w:val="center"/>
        </w:trPr>
        <w:tc>
          <w:tcPr>
            <w:tcW w:w="1260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購置</w:t>
            </w:r>
          </w:p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及成本</w:t>
            </w:r>
          </w:p>
        </w:tc>
        <w:tc>
          <w:tcPr>
            <w:tcW w:w="174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千</w:t>
            </w:r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萬</w:t>
            </w:r>
            <w:proofErr w:type="gramEnd"/>
            <w:r w:rsidRPr="00157933">
              <w:rPr>
                <w:rFonts w:ascii="新細明體" w:hAnsi="新細明體" w:cs="新細明體" w:hint="eastAsia"/>
                <w:sz w:val="20"/>
                <w:szCs w:val="20"/>
              </w:rPr>
              <w:t>元</w:t>
            </w:r>
          </w:p>
        </w:tc>
        <w:tc>
          <w:tcPr>
            <w:tcW w:w="1743" w:type="dxa"/>
            <w:noWrap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千</w:t>
            </w:r>
            <w:r>
              <w:rPr>
                <w:rFonts w:ascii="新細明體" w:hAnsi="新細明體" w:cs="新細明體"/>
                <w:sz w:val="20"/>
                <w:szCs w:val="20"/>
              </w:rPr>
              <w:t>5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百萬</w:t>
            </w:r>
            <w:proofErr w:type="gramEnd"/>
          </w:p>
        </w:tc>
        <w:tc>
          <w:tcPr>
            <w:tcW w:w="1801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千萬</w:t>
            </w:r>
            <w:proofErr w:type="gramEnd"/>
          </w:p>
        </w:tc>
        <w:tc>
          <w:tcPr>
            <w:tcW w:w="1935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2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百萬</w:t>
            </w:r>
            <w:proofErr w:type="gramEnd"/>
          </w:p>
        </w:tc>
        <w:tc>
          <w:tcPr>
            <w:tcW w:w="1892" w:type="dxa"/>
          </w:tcPr>
          <w:p w:rsidR="00BD2892" w:rsidRPr="00157933" w:rsidRDefault="00BD2892" w:rsidP="008619EF">
            <w:pPr>
              <w:jc w:val="both"/>
              <w:rPr>
                <w:rFonts w:asci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proofErr w:type="gramStart"/>
            <w:r>
              <w:rPr>
                <w:rFonts w:ascii="新細明體" w:hAnsi="新細明體" w:cs="新細明體" w:hint="eastAsia"/>
                <w:sz w:val="20"/>
                <w:szCs w:val="20"/>
              </w:rPr>
              <w:t>千萬</w:t>
            </w:r>
            <w:proofErr w:type="gramEnd"/>
          </w:p>
        </w:tc>
      </w:tr>
    </w:tbl>
    <w:p w:rsidR="00BD2892" w:rsidRPr="00D95434" w:rsidRDefault="00BD2892" w:rsidP="00655048">
      <w:pPr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sectPr w:rsidR="00BD2892" w:rsidRPr="00D95434" w:rsidSect="007D6034">
      <w:footerReference w:type="even" r:id="rId14"/>
      <w:footerReference w:type="default" r:id="rId15"/>
      <w:pgSz w:w="11906" w:h="16838"/>
      <w:pgMar w:top="1418" w:right="1418" w:bottom="1079" w:left="1418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93" w:rsidRDefault="007D7493">
      <w:r>
        <w:separator/>
      </w:r>
    </w:p>
  </w:endnote>
  <w:endnote w:type="continuationSeparator" w:id="0">
    <w:p w:rsidR="007D7493" w:rsidRDefault="007D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92" w:rsidRDefault="00BD2892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2892" w:rsidRDefault="00BD28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892" w:rsidRDefault="00BD2892" w:rsidP="00E935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4D52">
      <w:rPr>
        <w:rStyle w:val="a5"/>
        <w:noProof/>
      </w:rPr>
      <w:t>2</w:t>
    </w:r>
    <w:r>
      <w:rPr>
        <w:rStyle w:val="a5"/>
      </w:rPr>
      <w:fldChar w:fldCharType="end"/>
    </w:r>
  </w:p>
  <w:p w:rsidR="00BD2892" w:rsidRDefault="00BD28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93" w:rsidRDefault="007D7493">
      <w:r>
        <w:separator/>
      </w:r>
    </w:p>
  </w:footnote>
  <w:footnote w:type="continuationSeparator" w:id="0">
    <w:p w:rsidR="007D7493" w:rsidRDefault="007D7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5601"/>
    <w:multiLevelType w:val="hybridMultilevel"/>
    <w:tmpl w:val="27D68814"/>
    <w:lvl w:ilvl="0" w:tplc="AD68005C">
      <w:start w:val="1"/>
      <w:numFmt w:val="decimal"/>
      <w:lvlText w:val="%1."/>
      <w:lvlJc w:val="left"/>
      <w:pPr>
        <w:ind w:left="1805" w:hanging="7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58C"/>
    <w:rsid w:val="00011DE3"/>
    <w:rsid w:val="00083CC7"/>
    <w:rsid w:val="000B57DC"/>
    <w:rsid w:val="000D7A76"/>
    <w:rsid w:val="00124945"/>
    <w:rsid w:val="00157933"/>
    <w:rsid w:val="00184BBB"/>
    <w:rsid w:val="00191108"/>
    <w:rsid w:val="001B158C"/>
    <w:rsid w:val="001E71DD"/>
    <w:rsid w:val="002365FE"/>
    <w:rsid w:val="00250FF8"/>
    <w:rsid w:val="00263873"/>
    <w:rsid w:val="002A4A24"/>
    <w:rsid w:val="002B44BC"/>
    <w:rsid w:val="00312F68"/>
    <w:rsid w:val="003B18E0"/>
    <w:rsid w:val="003F344B"/>
    <w:rsid w:val="004D687B"/>
    <w:rsid w:val="00500B9E"/>
    <w:rsid w:val="00557ACA"/>
    <w:rsid w:val="0056466A"/>
    <w:rsid w:val="005907A6"/>
    <w:rsid w:val="005A28FA"/>
    <w:rsid w:val="005D6A8B"/>
    <w:rsid w:val="005F3AA3"/>
    <w:rsid w:val="00600BAF"/>
    <w:rsid w:val="0060118D"/>
    <w:rsid w:val="00601AE5"/>
    <w:rsid w:val="0062727C"/>
    <w:rsid w:val="00646D8D"/>
    <w:rsid w:val="00655048"/>
    <w:rsid w:val="00665E8C"/>
    <w:rsid w:val="00675F61"/>
    <w:rsid w:val="006E50A6"/>
    <w:rsid w:val="007165DE"/>
    <w:rsid w:val="00731F83"/>
    <w:rsid w:val="007D6034"/>
    <w:rsid w:val="007D7493"/>
    <w:rsid w:val="008619EF"/>
    <w:rsid w:val="00894B2C"/>
    <w:rsid w:val="008A4D52"/>
    <w:rsid w:val="008E7EA5"/>
    <w:rsid w:val="0098727A"/>
    <w:rsid w:val="009A4800"/>
    <w:rsid w:val="009C0635"/>
    <w:rsid w:val="009C07A5"/>
    <w:rsid w:val="009D3767"/>
    <w:rsid w:val="00A034E8"/>
    <w:rsid w:val="00AE1167"/>
    <w:rsid w:val="00AF64E5"/>
    <w:rsid w:val="00B10BCF"/>
    <w:rsid w:val="00B82C00"/>
    <w:rsid w:val="00BB36CE"/>
    <w:rsid w:val="00BC7E9E"/>
    <w:rsid w:val="00BD1CC5"/>
    <w:rsid w:val="00BD2892"/>
    <w:rsid w:val="00C043F5"/>
    <w:rsid w:val="00CA0454"/>
    <w:rsid w:val="00CA6D0B"/>
    <w:rsid w:val="00CB35BE"/>
    <w:rsid w:val="00CD32F9"/>
    <w:rsid w:val="00D56F5B"/>
    <w:rsid w:val="00D90EE7"/>
    <w:rsid w:val="00D92E80"/>
    <w:rsid w:val="00D95434"/>
    <w:rsid w:val="00DB0A3C"/>
    <w:rsid w:val="00DF6F56"/>
    <w:rsid w:val="00E03F4B"/>
    <w:rsid w:val="00E20DDD"/>
    <w:rsid w:val="00E93558"/>
    <w:rsid w:val="00EB00FE"/>
    <w:rsid w:val="00ED11C0"/>
    <w:rsid w:val="00F330A3"/>
    <w:rsid w:val="00F516A4"/>
    <w:rsid w:val="00F72446"/>
    <w:rsid w:val="00FA5610"/>
    <w:rsid w:val="00FA769E"/>
    <w:rsid w:val="00FD1BEB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1B15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1B158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B158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1B158C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AF6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AF64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E20DDD"/>
    <w:pPr>
      <w:ind w:leftChars="200" w:left="480"/>
    </w:pPr>
  </w:style>
  <w:style w:type="character" w:customStyle="1" w:styleId="page-name">
    <w:name w:val="page-name"/>
    <w:rsid w:val="00731F83"/>
  </w:style>
  <w:style w:type="paragraph" w:styleId="ab">
    <w:name w:val="annotation text"/>
    <w:basedOn w:val="a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1B158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1B158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B158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locked/>
    <w:rsid w:val="001B158C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rsid w:val="00AF6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AF64E5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E20DDD"/>
    <w:pPr>
      <w:ind w:leftChars="200" w:left="480"/>
    </w:pPr>
  </w:style>
  <w:style w:type="character" w:customStyle="1" w:styleId="page-name">
    <w:name w:val="page-name"/>
    <w:rsid w:val="00731F83"/>
  </w:style>
  <w:style w:type="paragraph" w:styleId="ab">
    <w:name w:val="annotation text"/>
    <w:basedOn w:val="a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66F4-B250-457C-B694-63EBF1E7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     105年12月7日</dc:title>
  <dc:creator>徐淑芷</dc:creator>
  <cp:lastModifiedBy>劉哲仲</cp:lastModifiedBy>
  <cp:revision>3</cp:revision>
  <cp:lastPrinted>2016-12-06T08:21:00Z</cp:lastPrinted>
  <dcterms:created xsi:type="dcterms:W3CDTF">2016-12-07T05:59:00Z</dcterms:created>
  <dcterms:modified xsi:type="dcterms:W3CDTF">2016-12-07T05:59:00Z</dcterms:modified>
</cp:coreProperties>
</file>