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379" w:rsidRPr="00DC3529" w:rsidRDefault="004C2379" w:rsidP="004C2379">
      <w:pPr>
        <w:pStyle w:val="a3"/>
        <w:spacing w:beforeLines="50" w:before="180" w:line="460" w:lineRule="exact"/>
        <w:jc w:val="center"/>
        <w:rPr>
          <w:bCs/>
          <w:sz w:val="40"/>
          <w:szCs w:val="40"/>
        </w:rPr>
      </w:pPr>
      <w:r w:rsidRPr="00DC3529">
        <w:rPr>
          <w:rFonts w:hint="eastAsia"/>
          <w:bCs/>
          <w:sz w:val="40"/>
          <w:szCs w:val="40"/>
        </w:rPr>
        <w:t>廢容器回收貯存清除處理方法及設施標準第七條、第八條修正</w:t>
      </w:r>
      <w:r w:rsidR="00B5497F" w:rsidRPr="00293DDD">
        <w:rPr>
          <w:rFonts w:cs="全字庫正楷體" w:hint="eastAsia"/>
          <w:bCs/>
          <w:kern w:val="0"/>
          <w:sz w:val="40"/>
          <w:szCs w:val="40"/>
        </w:rPr>
        <w:t>條文</w:t>
      </w:r>
      <w:r w:rsidRPr="00DC3529">
        <w:rPr>
          <w:rFonts w:hint="eastAsia"/>
          <w:bCs/>
          <w:sz w:val="40"/>
          <w:szCs w:val="40"/>
        </w:rPr>
        <w:t>總說明</w:t>
      </w:r>
    </w:p>
    <w:p w:rsidR="004C2379" w:rsidRPr="00F46A04" w:rsidRDefault="004C2379" w:rsidP="005D7FAB">
      <w:pPr>
        <w:tabs>
          <w:tab w:val="left" w:pos="0"/>
        </w:tabs>
        <w:adjustRightInd w:val="0"/>
        <w:snapToGrid w:val="0"/>
        <w:spacing w:beforeLines="50" w:before="180" w:after="100" w:afterAutospacing="1" w:line="560" w:lineRule="exact"/>
        <w:ind w:firstLineChars="225" w:firstLine="630"/>
        <w:jc w:val="both"/>
        <w:textAlignment w:val="baseline"/>
        <w:rPr>
          <w:rFonts w:eastAsia="標楷體" w:hAnsi="標楷體"/>
          <w:kern w:val="0"/>
          <w:sz w:val="28"/>
          <w:szCs w:val="20"/>
        </w:rPr>
      </w:pPr>
      <w:proofErr w:type="gramStart"/>
      <w:r>
        <w:rPr>
          <w:rFonts w:eastAsia="標楷體" w:hAnsi="標楷體" w:hint="eastAsia"/>
          <w:kern w:val="0"/>
          <w:sz w:val="28"/>
          <w:szCs w:val="20"/>
        </w:rPr>
        <w:t>本署於</w:t>
      </w:r>
      <w:proofErr w:type="gramEnd"/>
      <w:r>
        <w:rPr>
          <w:rFonts w:eastAsia="標楷體" w:hAnsi="標楷體" w:hint="eastAsia"/>
          <w:kern w:val="0"/>
          <w:sz w:val="28"/>
          <w:szCs w:val="20"/>
        </w:rPr>
        <w:t>九十一年九月十一日訂定發布「廢容器回收貯存清除處理方法及設施標準」，並於九十六年二月五日修正發布全文十三條。為與廢棄物清理法名詞一致，茲修正第七條，將「物品或廢一般容器」改為「應回收廢棄物」。</w:t>
      </w:r>
      <w:proofErr w:type="gramStart"/>
      <w:r>
        <w:rPr>
          <w:rFonts w:eastAsia="標楷體" w:hAnsi="標楷體" w:hint="eastAsia"/>
          <w:kern w:val="0"/>
          <w:sz w:val="28"/>
          <w:szCs w:val="20"/>
        </w:rPr>
        <w:t>另</w:t>
      </w:r>
      <w:proofErr w:type="gramEnd"/>
      <w:r>
        <w:rPr>
          <w:rFonts w:eastAsia="標楷體" w:hAnsi="標楷體" w:hint="eastAsia"/>
          <w:kern w:val="0"/>
          <w:sz w:val="28"/>
          <w:szCs w:val="20"/>
        </w:rPr>
        <w:t>，第八條規定，回收之廢容器非經中央主管機關許可，不得直接以焚化或掩埋方式處理。</w:t>
      </w:r>
      <w:proofErr w:type="gramStart"/>
      <w:r>
        <w:rPr>
          <w:rFonts w:eastAsia="標楷體" w:hAnsi="標楷體" w:hint="eastAsia"/>
          <w:kern w:val="0"/>
          <w:sz w:val="28"/>
          <w:szCs w:val="20"/>
        </w:rPr>
        <w:t>惟</w:t>
      </w:r>
      <w:proofErr w:type="gramEnd"/>
      <w:r>
        <w:rPr>
          <w:rFonts w:eastAsia="標楷體" w:hAnsi="標楷體" w:hint="eastAsia"/>
          <w:kern w:val="0"/>
          <w:sz w:val="28"/>
          <w:szCs w:val="20"/>
        </w:rPr>
        <w:t>考量廢容器處理設施停止運作或處理能量未能消化廢容器產出量時，將導致廢容器處理管道受阻，恐造成民眾回收後無去化管道問題，</w:t>
      </w:r>
      <w:proofErr w:type="gramStart"/>
      <w:r>
        <w:rPr>
          <w:rFonts w:eastAsia="標楷體" w:hAnsi="標楷體" w:hint="eastAsia"/>
          <w:kern w:val="0"/>
          <w:sz w:val="28"/>
          <w:szCs w:val="20"/>
        </w:rPr>
        <w:t>爰</w:t>
      </w:r>
      <w:proofErr w:type="gramEnd"/>
      <w:r>
        <w:rPr>
          <w:rFonts w:eastAsia="標楷體" w:hAnsi="標楷體" w:hint="eastAsia"/>
          <w:kern w:val="0"/>
          <w:sz w:val="28"/>
          <w:szCs w:val="20"/>
        </w:rPr>
        <w:t>修正第八條，</w:t>
      </w:r>
      <w:proofErr w:type="gramStart"/>
      <w:r>
        <w:rPr>
          <w:rFonts w:eastAsia="標楷體" w:hAnsi="標楷體" w:hint="eastAsia"/>
          <w:kern w:val="0"/>
          <w:sz w:val="28"/>
          <w:szCs w:val="20"/>
        </w:rPr>
        <w:t>明定廢容器</w:t>
      </w:r>
      <w:proofErr w:type="gramEnd"/>
      <w:r>
        <w:rPr>
          <w:rFonts w:eastAsia="標楷體" w:hAnsi="標楷體" w:hint="eastAsia"/>
          <w:kern w:val="0"/>
          <w:sz w:val="28"/>
          <w:szCs w:val="20"/>
        </w:rPr>
        <w:t>處理設施停止運作達半年或處理能量未達前一年廢容器產出量之二分之一，致回收處理管道有受阻之虞時，廢容器得交</w:t>
      </w:r>
      <w:proofErr w:type="gramStart"/>
      <w:r>
        <w:rPr>
          <w:rFonts w:eastAsia="標楷體" w:hAnsi="標楷體" w:hint="eastAsia"/>
          <w:kern w:val="0"/>
          <w:sz w:val="28"/>
          <w:szCs w:val="20"/>
        </w:rPr>
        <w:t>由本署指定</w:t>
      </w:r>
      <w:proofErr w:type="gramEnd"/>
      <w:r>
        <w:rPr>
          <w:rFonts w:eastAsia="標楷體" w:hAnsi="標楷體" w:hint="eastAsia"/>
          <w:kern w:val="0"/>
          <w:sz w:val="28"/>
          <w:szCs w:val="20"/>
        </w:rPr>
        <w:t>之一般廢棄物焚化廠焚化處理，</w:t>
      </w:r>
      <w:proofErr w:type="gramStart"/>
      <w:r>
        <w:rPr>
          <w:rFonts w:eastAsia="標楷體" w:hAnsi="標楷體" w:hint="eastAsia"/>
          <w:kern w:val="0"/>
          <w:sz w:val="28"/>
          <w:szCs w:val="20"/>
        </w:rPr>
        <w:t>不受須先經本署許可</w:t>
      </w:r>
      <w:proofErr w:type="gramEnd"/>
      <w:r>
        <w:rPr>
          <w:rFonts w:eastAsia="標楷體" w:hAnsi="標楷體" w:hint="eastAsia"/>
          <w:kern w:val="0"/>
          <w:sz w:val="28"/>
          <w:szCs w:val="20"/>
        </w:rPr>
        <w:t>，始得直接焚化處理之限制，以避免回收處理管道受阻，衍生民怨。</w:t>
      </w:r>
    </w:p>
    <w:p w:rsidR="004C2379" w:rsidRDefault="004C2379" w:rsidP="004C2379">
      <w:pPr>
        <w:widowControl/>
        <w:rPr>
          <w:rFonts w:eastAsia="標楷體"/>
          <w:b/>
        </w:rPr>
      </w:pPr>
      <w:r>
        <w:rPr>
          <w:rFonts w:eastAsia="標楷體"/>
          <w:b/>
        </w:rPr>
        <w:br w:type="page"/>
      </w:r>
    </w:p>
    <w:p w:rsidR="004C2379" w:rsidRPr="00DC3529" w:rsidRDefault="004C2379" w:rsidP="004C2379">
      <w:pPr>
        <w:pStyle w:val="a3"/>
        <w:spacing w:line="460" w:lineRule="exact"/>
        <w:jc w:val="center"/>
        <w:rPr>
          <w:rFonts w:ascii="Times New Roman" w:hAnsi="Times New Roman"/>
          <w:bCs/>
          <w:sz w:val="40"/>
          <w:szCs w:val="40"/>
        </w:rPr>
      </w:pPr>
      <w:r w:rsidRPr="00DC3529">
        <w:rPr>
          <w:rFonts w:ascii="Times New Roman" w:hAnsi="Times New Roman" w:hint="eastAsia"/>
          <w:bCs/>
          <w:sz w:val="40"/>
          <w:szCs w:val="40"/>
        </w:rPr>
        <w:lastRenderedPageBreak/>
        <w:t>廢容器回收貯存清除處理方法及設施標準第七條、第八條修正條文對照表</w:t>
      </w:r>
    </w:p>
    <w:p w:rsidR="004C2379" w:rsidRDefault="004C2379" w:rsidP="004C2379">
      <w:pPr>
        <w:spacing w:line="20" w:lineRule="exact"/>
        <w:rPr>
          <w:rFonts w:ascii="標楷體" w:hAnsi="標楷體"/>
        </w:rPr>
      </w:pPr>
    </w:p>
    <w:p w:rsidR="004C2379" w:rsidRDefault="004C2379" w:rsidP="004C2379">
      <w:pPr>
        <w:overflowPunct w:val="0"/>
        <w:autoSpaceDE w:val="0"/>
        <w:autoSpaceDN w:val="0"/>
        <w:snapToGrid w:val="0"/>
        <w:spacing w:line="20" w:lineRule="exact"/>
        <w:rPr>
          <w:rFonts w:ascii="標楷體" w:hAnsi="標楷體"/>
        </w:rPr>
      </w:pPr>
      <w:r>
        <w:rPr>
          <w:rFonts w:ascii="標楷體" w:hAnsi="標楷體" w:hint="eastAsia"/>
        </w:rPr>
        <w:t xml:space="preserve"> </w:t>
      </w:r>
    </w:p>
    <w:tbl>
      <w:tblPr>
        <w:tblW w:w="9073" w:type="dxa"/>
        <w:tblInd w:w="-25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61"/>
        <w:gridCol w:w="2977"/>
        <w:gridCol w:w="2835"/>
      </w:tblGrid>
      <w:tr w:rsidR="004C2379" w:rsidRPr="00602DD7" w:rsidTr="004C2379">
        <w:tc>
          <w:tcPr>
            <w:tcW w:w="3261" w:type="dxa"/>
            <w:tcBorders>
              <w:top w:val="single" w:sz="4" w:space="0" w:color="auto"/>
              <w:left w:val="single" w:sz="6" w:space="0" w:color="auto"/>
              <w:bottom w:val="single" w:sz="6" w:space="0" w:color="auto"/>
            </w:tcBorders>
            <w:vAlign w:val="center"/>
          </w:tcPr>
          <w:p w:rsidR="004C2379" w:rsidRPr="00602DD7" w:rsidRDefault="004C2379" w:rsidP="007545DD">
            <w:pPr>
              <w:tabs>
                <w:tab w:val="left" w:pos="1052"/>
                <w:tab w:val="left" w:pos="3004"/>
              </w:tabs>
              <w:autoSpaceDE w:val="0"/>
              <w:autoSpaceDN w:val="0"/>
              <w:adjustRightInd w:val="0"/>
              <w:snapToGrid w:val="0"/>
              <w:spacing w:before="120" w:after="120"/>
              <w:ind w:leftChars="-12" w:left="-3" w:hangingChars="11" w:hanging="26"/>
              <w:jc w:val="center"/>
              <w:textAlignment w:val="center"/>
              <w:rPr>
                <w:rFonts w:eastAsia="標楷體" w:hAnsi="標楷體"/>
                <w:snapToGrid w:val="0"/>
                <w:color w:val="000000"/>
                <w:kern w:val="0"/>
              </w:rPr>
            </w:pPr>
            <w:r w:rsidRPr="00602DD7">
              <w:rPr>
                <w:rFonts w:eastAsia="標楷體" w:hAnsi="標楷體"/>
                <w:snapToGrid w:val="0"/>
                <w:color w:val="000000"/>
                <w:kern w:val="0"/>
              </w:rPr>
              <w:t>修</w:t>
            </w:r>
            <w:r w:rsidRPr="00602DD7">
              <w:rPr>
                <w:rFonts w:eastAsia="標楷體" w:hAnsi="標楷體" w:hint="eastAsia"/>
                <w:snapToGrid w:val="0"/>
                <w:color w:val="000000"/>
                <w:kern w:val="0"/>
              </w:rPr>
              <w:t xml:space="preserve">  </w:t>
            </w:r>
            <w:r w:rsidRPr="00602DD7">
              <w:rPr>
                <w:rFonts w:eastAsia="標楷體" w:hAnsi="標楷體"/>
                <w:snapToGrid w:val="0"/>
                <w:color w:val="000000"/>
                <w:kern w:val="0"/>
              </w:rPr>
              <w:t>正</w:t>
            </w:r>
            <w:r w:rsidRPr="00602DD7">
              <w:rPr>
                <w:rFonts w:eastAsia="標楷體" w:hAnsi="標楷體" w:hint="eastAsia"/>
                <w:snapToGrid w:val="0"/>
                <w:color w:val="000000"/>
                <w:kern w:val="0"/>
              </w:rPr>
              <w:t xml:space="preserve">  </w:t>
            </w:r>
            <w:r w:rsidRPr="00602DD7">
              <w:rPr>
                <w:rFonts w:eastAsia="標楷體" w:hAnsi="標楷體"/>
                <w:snapToGrid w:val="0"/>
                <w:color w:val="000000"/>
                <w:kern w:val="0"/>
              </w:rPr>
              <w:t>條</w:t>
            </w:r>
            <w:r w:rsidRPr="00602DD7">
              <w:rPr>
                <w:rFonts w:eastAsia="標楷體" w:hAnsi="標楷體" w:hint="eastAsia"/>
                <w:snapToGrid w:val="0"/>
                <w:color w:val="000000"/>
                <w:kern w:val="0"/>
              </w:rPr>
              <w:t xml:space="preserve">  </w:t>
            </w:r>
            <w:r w:rsidRPr="00602DD7">
              <w:rPr>
                <w:rFonts w:eastAsia="標楷體" w:hAnsi="標楷體"/>
                <w:snapToGrid w:val="0"/>
                <w:color w:val="000000"/>
                <w:kern w:val="0"/>
              </w:rPr>
              <w:t>文</w:t>
            </w:r>
          </w:p>
        </w:tc>
        <w:tc>
          <w:tcPr>
            <w:tcW w:w="2977" w:type="dxa"/>
            <w:tcBorders>
              <w:top w:val="single" w:sz="4" w:space="0" w:color="auto"/>
              <w:left w:val="single" w:sz="6" w:space="0" w:color="auto"/>
              <w:bottom w:val="single" w:sz="6" w:space="0" w:color="auto"/>
            </w:tcBorders>
            <w:vAlign w:val="center"/>
          </w:tcPr>
          <w:p w:rsidR="004C2379" w:rsidRPr="00602DD7" w:rsidRDefault="004C2379" w:rsidP="007545DD">
            <w:pPr>
              <w:tabs>
                <w:tab w:val="left" w:pos="1052"/>
                <w:tab w:val="left" w:pos="3004"/>
              </w:tabs>
              <w:autoSpaceDE w:val="0"/>
              <w:autoSpaceDN w:val="0"/>
              <w:adjustRightInd w:val="0"/>
              <w:snapToGrid w:val="0"/>
              <w:spacing w:before="120" w:after="120"/>
              <w:ind w:leftChars="-12" w:left="-3" w:hangingChars="11" w:hanging="26"/>
              <w:jc w:val="center"/>
              <w:textAlignment w:val="center"/>
              <w:rPr>
                <w:rFonts w:eastAsia="標楷體" w:hAnsi="標楷體"/>
                <w:snapToGrid w:val="0"/>
                <w:color w:val="000000"/>
                <w:kern w:val="0"/>
              </w:rPr>
            </w:pPr>
            <w:r w:rsidRPr="00602DD7">
              <w:rPr>
                <w:rFonts w:eastAsia="標楷體" w:hAnsi="標楷體" w:hint="eastAsia"/>
                <w:snapToGrid w:val="0"/>
                <w:color w:val="000000"/>
                <w:kern w:val="0"/>
              </w:rPr>
              <w:t>現</w:t>
            </w:r>
            <w:r w:rsidRPr="00602DD7">
              <w:rPr>
                <w:rFonts w:eastAsia="標楷體" w:hAnsi="標楷體" w:hint="eastAsia"/>
                <w:snapToGrid w:val="0"/>
                <w:color w:val="000000"/>
                <w:kern w:val="0"/>
              </w:rPr>
              <w:t xml:space="preserve">  </w:t>
            </w:r>
            <w:r w:rsidRPr="00602DD7">
              <w:rPr>
                <w:rFonts w:eastAsia="標楷體" w:hAnsi="標楷體" w:hint="eastAsia"/>
                <w:snapToGrid w:val="0"/>
                <w:color w:val="000000"/>
                <w:kern w:val="0"/>
              </w:rPr>
              <w:t>行</w:t>
            </w:r>
            <w:r w:rsidRPr="00602DD7">
              <w:rPr>
                <w:rFonts w:eastAsia="標楷體" w:hAnsi="標楷體" w:hint="eastAsia"/>
                <w:snapToGrid w:val="0"/>
                <w:color w:val="000000"/>
                <w:kern w:val="0"/>
              </w:rPr>
              <w:t xml:space="preserve">  </w:t>
            </w:r>
            <w:r w:rsidRPr="00602DD7">
              <w:rPr>
                <w:rFonts w:eastAsia="標楷體" w:hAnsi="標楷體"/>
                <w:snapToGrid w:val="0"/>
                <w:color w:val="000000"/>
                <w:kern w:val="0"/>
              </w:rPr>
              <w:t>條</w:t>
            </w:r>
            <w:r w:rsidRPr="00602DD7">
              <w:rPr>
                <w:rFonts w:eastAsia="標楷體" w:hAnsi="標楷體" w:hint="eastAsia"/>
                <w:snapToGrid w:val="0"/>
                <w:color w:val="000000"/>
                <w:kern w:val="0"/>
              </w:rPr>
              <w:t xml:space="preserve">  </w:t>
            </w:r>
            <w:r w:rsidRPr="00602DD7">
              <w:rPr>
                <w:rFonts w:eastAsia="標楷體" w:hAnsi="標楷體"/>
                <w:snapToGrid w:val="0"/>
                <w:color w:val="000000"/>
                <w:kern w:val="0"/>
              </w:rPr>
              <w:t>文</w:t>
            </w:r>
          </w:p>
        </w:tc>
        <w:tc>
          <w:tcPr>
            <w:tcW w:w="2835" w:type="dxa"/>
            <w:tcBorders>
              <w:top w:val="single" w:sz="4" w:space="0" w:color="auto"/>
              <w:bottom w:val="single" w:sz="6" w:space="0" w:color="auto"/>
              <w:right w:val="single" w:sz="6" w:space="0" w:color="auto"/>
            </w:tcBorders>
            <w:vAlign w:val="center"/>
          </w:tcPr>
          <w:p w:rsidR="004C2379" w:rsidRPr="00602DD7" w:rsidRDefault="004C2379" w:rsidP="007545DD">
            <w:pPr>
              <w:tabs>
                <w:tab w:val="left" w:pos="2464"/>
              </w:tabs>
              <w:autoSpaceDE w:val="0"/>
              <w:autoSpaceDN w:val="0"/>
              <w:adjustRightInd w:val="0"/>
              <w:snapToGrid w:val="0"/>
              <w:spacing w:before="120" w:after="120"/>
              <w:ind w:leftChars="-12" w:left="-3" w:hangingChars="11" w:hanging="26"/>
              <w:jc w:val="center"/>
              <w:textDirection w:val="lrTbV"/>
              <w:textAlignment w:val="center"/>
              <w:rPr>
                <w:rFonts w:eastAsia="標楷體"/>
                <w:snapToGrid w:val="0"/>
                <w:color w:val="000000"/>
                <w:kern w:val="0"/>
              </w:rPr>
            </w:pPr>
            <w:r w:rsidRPr="00602DD7">
              <w:rPr>
                <w:rFonts w:eastAsia="標楷體" w:hAnsi="標楷體"/>
                <w:snapToGrid w:val="0"/>
                <w:color w:val="000000"/>
                <w:kern w:val="0"/>
              </w:rPr>
              <w:t>說</w:t>
            </w:r>
            <w:r w:rsidRPr="00602DD7">
              <w:rPr>
                <w:rFonts w:eastAsia="標楷體" w:hAnsi="標楷體" w:hint="eastAsia"/>
                <w:snapToGrid w:val="0"/>
                <w:color w:val="000000"/>
                <w:kern w:val="0"/>
              </w:rPr>
              <w:t xml:space="preserve">          </w:t>
            </w:r>
            <w:r w:rsidRPr="00602DD7">
              <w:rPr>
                <w:rFonts w:eastAsia="標楷體" w:hAnsi="標楷體"/>
                <w:snapToGrid w:val="0"/>
                <w:color w:val="000000"/>
                <w:kern w:val="0"/>
              </w:rPr>
              <w:t>明</w:t>
            </w:r>
          </w:p>
        </w:tc>
      </w:tr>
      <w:tr w:rsidR="004C2379" w:rsidRPr="00602DD7" w:rsidTr="004C2379">
        <w:tc>
          <w:tcPr>
            <w:tcW w:w="3261" w:type="dxa"/>
            <w:tcBorders>
              <w:top w:val="single" w:sz="6" w:space="0" w:color="auto"/>
              <w:left w:val="single" w:sz="6" w:space="0" w:color="auto"/>
              <w:bottom w:val="single" w:sz="6" w:space="0" w:color="auto"/>
            </w:tcBorders>
          </w:tcPr>
          <w:p w:rsidR="004C2379" w:rsidRPr="00602DD7" w:rsidRDefault="004C2379" w:rsidP="007545DD">
            <w:pPr>
              <w:adjustRightInd w:val="0"/>
              <w:snapToGrid w:val="0"/>
              <w:ind w:leftChars="-11" w:left="240" w:hangingChars="111" w:hanging="266"/>
              <w:jc w:val="both"/>
              <w:textDirection w:val="lrTbV"/>
              <w:textAlignment w:val="baseline"/>
              <w:rPr>
                <w:rFonts w:eastAsia="標楷體" w:hAnsi="標楷體"/>
                <w:snapToGrid w:val="0"/>
                <w:kern w:val="0"/>
              </w:rPr>
            </w:pPr>
            <w:r w:rsidRPr="00602DD7">
              <w:rPr>
                <w:rFonts w:eastAsia="標楷體" w:hAnsi="標楷體"/>
                <w:snapToGrid w:val="0"/>
                <w:kern w:val="0"/>
              </w:rPr>
              <w:t>第</w:t>
            </w:r>
            <w:r w:rsidRPr="00602DD7">
              <w:rPr>
                <w:rFonts w:eastAsia="標楷體" w:hAnsi="標楷體" w:hint="eastAsia"/>
                <w:snapToGrid w:val="0"/>
                <w:kern w:val="0"/>
              </w:rPr>
              <w:t>七</w:t>
            </w:r>
            <w:r w:rsidRPr="00602DD7">
              <w:rPr>
                <w:rFonts w:eastAsia="標楷體" w:hAnsi="標楷體"/>
                <w:snapToGrid w:val="0"/>
                <w:kern w:val="0"/>
              </w:rPr>
              <w:t xml:space="preserve">條　</w:t>
            </w:r>
            <w:r w:rsidRPr="00602DD7">
              <w:rPr>
                <w:rFonts w:eastAsia="標楷體" w:hAnsi="標楷體" w:hint="eastAsia"/>
                <w:snapToGrid w:val="0"/>
                <w:kern w:val="0"/>
              </w:rPr>
              <w:t>農藥廢容器或特殊環境用藥廢容器應與其他廢容器分開貯存，並於回收</w:t>
            </w:r>
            <w:r w:rsidRPr="00602DD7">
              <w:rPr>
                <w:rFonts w:eastAsia="標楷體" w:hAnsi="標楷體"/>
                <w:snapToGrid w:val="0"/>
                <w:kern w:val="0"/>
              </w:rPr>
              <w:t>、</w:t>
            </w:r>
            <w:r w:rsidRPr="00602DD7">
              <w:rPr>
                <w:rFonts w:eastAsia="標楷體" w:hAnsi="標楷體" w:hint="eastAsia"/>
                <w:snapToGrid w:val="0"/>
                <w:kern w:val="0"/>
              </w:rPr>
              <w:t>貯存</w:t>
            </w:r>
            <w:r w:rsidRPr="00602DD7">
              <w:rPr>
                <w:rFonts w:eastAsia="標楷體" w:hAnsi="標楷體"/>
                <w:snapToGrid w:val="0"/>
                <w:kern w:val="0"/>
              </w:rPr>
              <w:t>、</w:t>
            </w:r>
            <w:r w:rsidRPr="00602DD7">
              <w:rPr>
                <w:rFonts w:eastAsia="標楷體" w:hAnsi="標楷體" w:hint="eastAsia"/>
                <w:snapToGrid w:val="0"/>
                <w:kern w:val="0"/>
              </w:rPr>
              <w:t>清除過程不得以壓縮方式打包，且不得與其他</w:t>
            </w:r>
            <w:r w:rsidRPr="00602DD7">
              <w:rPr>
                <w:rFonts w:eastAsia="標楷體" w:hAnsi="標楷體" w:hint="eastAsia"/>
                <w:snapToGrid w:val="0"/>
                <w:kern w:val="0"/>
                <w:u w:val="single"/>
              </w:rPr>
              <w:t>應回收廢棄物</w:t>
            </w:r>
            <w:r w:rsidRPr="00602DD7">
              <w:rPr>
                <w:rFonts w:eastAsia="標楷體" w:hAnsi="標楷體" w:hint="eastAsia"/>
                <w:snapToGrid w:val="0"/>
                <w:kern w:val="0"/>
              </w:rPr>
              <w:t>混合清除或處理。</w:t>
            </w:r>
          </w:p>
        </w:tc>
        <w:tc>
          <w:tcPr>
            <w:tcW w:w="2977" w:type="dxa"/>
            <w:tcBorders>
              <w:top w:val="single" w:sz="6" w:space="0" w:color="auto"/>
              <w:left w:val="single" w:sz="6" w:space="0" w:color="auto"/>
              <w:bottom w:val="single" w:sz="4" w:space="0" w:color="auto"/>
            </w:tcBorders>
          </w:tcPr>
          <w:p w:rsidR="004C2379" w:rsidRPr="00602DD7" w:rsidRDefault="004C2379" w:rsidP="007545DD">
            <w:pPr>
              <w:adjustRightInd w:val="0"/>
              <w:snapToGrid w:val="0"/>
              <w:ind w:leftChars="-11" w:left="240" w:hangingChars="111" w:hanging="266"/>
              <w:jc w:val="both"/>
              <w:textDirection w:val="lrTbV"/>
              <w:textAlignment w:val="baseline"/>
              <w:rPr>
                <w:rFonts w:eastAsia="標楷體" w:hAnsi="標楷體"/>
                <w:snapToGrid w:val="0"/>
                <w:kern w:val="0"/>
              </w:rPr>
            </w:pPr>
            <w:r w:rsidRPr="00602DD7">
              <w:rPr>
                <w:rFonts w:eastAsia="標楷體" w:hAnsi="標楷體"/>
                <w:snapToGrid w:val="0"/>
                <w:kern w:val="0"/>
              </w:rPr>
              <w:t>第</w:t>
            </w:r>
            <w:r w:rsidRPr="00602DD7">
              <w:rPr>
                <w:rFonts w:eastAsia="標楷體" w:hAnsi="標楷體" w:hint="eastAsia"/>
                <w:snapToGrid w:val="0"/>
                <w:kern w:val="0"/>
              </w:rPr>
              <w:t>七</w:t>
            </w:r>
            <w:r w:rsidRPr="00602DD7">
              <w:rPr>
                <w:rFonts w:eastAsia="標楷體" w:hAnsi="標楷體"/>
                <w:snapToGrid w:val="0"/>
                <w:kern w:val="0"/>
              </w:rPr>
              <w:t xml:space="preserve">條　</w:t>
            </w:r>
            <w:r w:rsidRPr="00602DD7">
              <w:rPr>
                <w:rFonts w:eastAsia="標楷體" w:hAnsi="標楷體" w:hint="eastAsia"/>
                <w:snapToGrid w:val="0"/>
                <w:kern w:val="0"/>
              </w:rPr>
              <w:t>農藥廢容器或特殊環境用藥廢容器應與其他廢容器分開貯存，並於回收</w:t>
            </w:r>
            <w:r w:rsidRPr="00602DD7">
              <w:rPr>
                <w:rFonts w:eastAsia="標楷體" w:hAnsi="標楷體"/>
                <w:snapToGrid w:val="0"/>
                <w:kern w:val="0"/>
              </w:rPr>
              <w:t>、</w:t>
            </w:r>
            <w:r w:rsidRPr="00602DD7">
              <w:rPr>
                <w:rFonts w:eastAsia="標楷體" w:hAnsi="標楷體" w:hint="eastAsia"/>
                <w:snapToGrid w:val="0"/>
                <w:kern w:val="0"/>
              </w:rPr>
              <w:t>貯存</w:t>
            </w:r>
            <w:r w:rsidRPr="00602DD7">
              <w:rPr>
                <w:rFonts w:eastAsia="標楷體" w:hAnsi="標楷體"/>
                <w:snapToGrid w:val="0"/>
                <w:kern w:val="0"/>
              </w:rPr>
              <w:t>、</w:t>
            </w:r>
            <w:r w:rsidRPr="00602DD7">
              <w:rPr>
                <w:rFonts w:eastAsia="標楷體" w:hAnsi="標楷體" w:hint="eastAsia"/>
                <w:snapToGrid w:val="0"/>
                <w:kern w:val="0"/>
              </w:rPr>
              <w:t>清除過程不得以壓縮方式打包，且不得與其他</w:t>
            </w:r>
            <w:r w:rsidRPr="00E9798F">
              <w:rPr>
                <w:rFonts w:eastAsia="標楷體" w:hAnsi="標楷體" w:hint="eastAsia"/>
                <w:snapToGrid w:val="0"/>
                <w:kern w:val="0"/>
              </w:rPr>
              <w:t>物品或廢一般容器</w:t>
            </w:r>
            <w:r w:rsidRPr="00602DD7">
              <w:rPr>
                <w:rFonts w:eastAsia="標楷體" w:hAnsi="標楷體" w:hint="eastAsia"/>
                <w:snapToGrid w:val="0"/>
                <w:kern w:val="0"/>
              </w:rPr>
              <w:t>混合清除或處理。</w:t>
            </w:r>
          </w:p>
        </w:tc>
        <w:tc>
          <w:tcPr>
            <w:tcW w:w="2835" w:type="dxa"/>
            <w:tcBorders>
              <w:top w:val="single" w:sz="6" w:space="0" w:color="auto"/>
              <w:bottom w:val="single" w:sz="6" w:space="0" w:color="auto"/>
              <w:right w:val="single" w:sz="6" w:space="0" w:color="auto"/>
            </w:tcBorders>
          </w:tcPr>
          <w:p w:rsidR="004C2379" w:rsidRPr="00602DD7" w:rsidRDefault="004C2379" w:rsidP="007545DD">
            <w:pPr>
              <w:adjustRightInd w:val="0"/>
              <w:snapToGrid w:val="0"/>
              <w:ind w:left="78"/>
              <w:jc w:val="both"/>
              <w:textAlignment w:val="baseline"/>
              <w:rPr>
                <w:rFonts w:eastAsia="標楷體" w:hAnsi="標楷體"/>
                <w:snapToGrid w:val="0"/>
                <w:kern w:val="0"/>
              </w:rPr>
            </w:pPr>
            <w:r w:rsidRPr="00602DD7">
              <w:rPr>
                <w:rFonts w:eastAsia="標楷體" w:hAnsi="標楷體" w:hint="eastAsia"/>
                <w:snapToGrid w:val="0"/>
                <w:kern w:val="0"/>
              </w:rPr>
              <w:t>本</w:t>
            </w:r>
            <w:r>
              <w:rPr>
                <w:rFonts w:eastAsia="標楷體" w:hAnsi="標楷體" w:hint="eastAsia"/>
                <w:snapToGrid w:val="0"/>
                <w:kern w:val="0"/>
              </w:rPr>
              <w:t>標準</w:t>
            </w:r>
            <w:r w:rsidRPr="00602DD7">
              <w:rPr>
                <w:rFonts w:eastAsia="標楷體" w:hAnsi="標楷體" w:hint="eastAsia"/>
                <w:snapToGrid w:val="0"/>
                <w:kern w:val="0"/>
              </w:rPr>
              <w:t>前由「廢一般物品及容器回收清除處理辦法」、「廢特定物品及容器回收清除處理辦法」及「廢物品及容器回收清除處理辦法」沿革而來，因廢一般容器已不再使用，</w:t>
            </w:r>
            <w:proofErr w:type="gramStart"/>
            <w:r w:rsidRPr="00602DD7">
              <w:rPr>
                <w:rFonts w:eastAsia="標楷體" w:hAnsi="標楷體" w:hint="eastAsia"/>
                <w:snapToGrid w:val="0"/>
                <w:kern w:val="0"/>
              </w:rPr>
              <w:t>爰</w:t>
            </w:r>
            <w:proofErr w:type="gramEnd"/>
            <w:r w:rsidRPr="00602DD7">
              <w:rPr>
                <w:rFonts w:eastAsia="標楷體" w:hAnsi="標楷體" w:hint="eastAsia"/>
                <w:snapToGrid w:val="0"/>
                <w:kern w:val="0"/>
              </w:rPr>
              <w:t>修正文字，使其與現行廢棄物清理法名詞一致。</w:t>
            </w:r>
          </w:p>
        </w:tc>
      </w:tr>
      <w:tr w:rsidR="004C2379" w:rsidRPr="00602DD7" w:rsidTr="004C2379">
        <w:tc>
          <w:tcPr>
            <w:tcW w:w="3261" w:type="dxa"/>
            <w:tcBorders>
              <w:top w:val="single" w:sz="6" w:space="0" w:color="auto"/>
              <w:left w:val="single" w:sz="6" w:space="0" w:color="auto"/>
              <w:bottom w:val="single" w:sz="6" w:space="0" w:color="auto"/>
              <w:right w:val="single" w:sz="4" w:space="0" w:color="auto"/>
            </w:tcBorders>
          </w:tcPr>
          <w:p w:rsidR="004C2379" w:rsidRPr="00602DD7" w:rsidRDefault="004C2379" w:rsidP="007545DD">
            <w:pPr>
              <w:adjustRightInd w:val="0"/>
              <w:snapToGrid w:val="0"/>
              <w:ind w:leftChars="-11" w:left="240" w:hangingChars="111" w:hanging="266"/>
              <w:jc w:val="both"/>
              <w:textDirection w:val="lrTbV"/>
              <w:textAlignment w:val="baseline"/>
              <w:rPr>
                <w:rFonts w:eastAsia="標楷體" w:hAnsi="標楷體"/>
                <w:snapToGrid w:val="0"/>
                <w:kern w:val="0"/>
              </w:rPr>
            </w:pPr>
            <w:r w:rsidRPr="00602DD7">
              <w:rPr>
                <w:rFonts w:eastAsia="標楷體" w:hAnsi="標楷體"/>
                <w:snapToGrid w:val="0"/>
                <w:kern w:val="0"/>
              </w:rPr>
              <w:t>第</w:t>
            </w:r>
            <w:r w:rsidRPr="00602DD7">
              <w:rPr>
                <w:rFonts w:eastAsia="標楷體" w:hAnsi="標楷體" w:hint="eastAsia"/>
                <w:snapToGrid w:val="0"/>
                <w:kern w:val="0"/>
              </w:rPr>
              <w:t>八</w:t>
            </w:r>
            <w:r w:rsidRPr="00602DD7">
              <w:rPr>
                <w:rFonts w:eastAsia="標楷體" w:hAnsi="標楷體"/>
                <w:snapToGrid w:val="0"/>
                <w:kern w:val="0"/>
              </w:rPr>
              <w:t xml:space="preserve">條　</w:t>
            </w:r>
            <w:r w:rsidRPr="00602DD7">
              <w:rPr>
                <w:rFonts w:eastAsia="標楷體" w:hAnsi="標楷體" w:hint="eastAsia"/>
                <w:snapToGrid w:val="0"/>
                <w:kern w:val="0"/>
              </w:rPr>
              <w:t>廢容器之處理方法，應符合下列規定：</w:t>
            </w:r>
          </w:p>
          <w:p w:rsidR="004C2379" w:rsidRPr="00602DD7" w:rsidRDefault="004C2379" w:rsidP="004C2379">
            <w:pPr>
              <w:overflowPunct w:val="0"/>
              <w:autoSpaceDE w:val="0"/>
              <w:autoSpaceDN w:val="0"/>
              <w:adjustRightInd w:val="0"/>
              <w:snapToGrid w:val="0"/>
              <w:spacing w:beforeLines="25" w:before="90"/>
              <w:ind w:leftChars="100" w:left="720" w:hangingChars="200" w:hanging="480"/>
              <w:jc w:val="both"/>
              <w:textDirection w:val="lrTbV"/>
              <w:textAlignment w:val="baseline"/>
              <w:rPr>
                <w:rFonts w:eastAsia="標楷體" w:hAnsi="標楷體"/>
                <w:snapToGrid w:val="0"/>
                <w:kern w:val="0"/>
                <w:u w:val="single"/>
              </w:rPr>
            </w:pPr>
            <w:r w:rsidRPr="00602DD7">
              <w:rPr>
                <w:rFonts w:eastAsia="標楷體" w:hAnsi="標楷體"/>
                <w:snapToGrid w:val="0"/>
                <w:kern w:val="0"/>
              </w:rPr>
              <w:t>一、</w:t>
            </w:r>
            <w:r w:rsidRPr="00602DD7">
              <w:rPr>
                <w:rFonts w:eastAsia="標楷體" w:hAnsi="標楷體" w:hint="eastAsia"/>
                <w:snapToGrid w:val="0"/>
                <w:kern w:val="0"/>
              </w:rPr>
              <w:t>廢容器經處理產生之塑膠碎片、</w:t>
            </w:r>
            <w:proofErr w:type="gramStart"/>
            <w:r w:rsidRPr="00602DD7">
              <w:rPr>
                <w:rFonts w:eastAsia="標楷體" w:hAnsi="標楷體" w:hint="eastAsia"/>
                <w:snapToGrid w:val="0"/>
                <w:kern w:val="0"/>
              </w:rPr>
              <w:t>碎鐵、碎鋁、</w:t>
            </w:r>
            <w:proofErr w:type="gramEnd"/>
            <w:r w:rsidRPr="00602DD7">
              <w:rPr>
                <w:rFonts w:eastAsia="標楷體" w:hAnsi="標楷體" w:hint="eastAsia"/>
                <w:snapToGrid w:val="0"/>
                <w:kern w:val="0"/>
              </w:rPr>
              <w:t>玻璃碎屑、紙漿等物質，應依本法事業廢棄物之再利用相關規定，進行再利用；其</w:t>
            </w:r>
            <w:proofErr w:type="gramStart"/>
            <w:r w:rsidRPr="00602DD7">
              <w:rPr>
                <w:rFonts w:eastAsia="標楷體" w:hAnsi="標楷體" w:hint="eastAsia"/>
                <w:snapToGrid w:val="0"/>
                <w:kern w:val="0"/>
              </w:rPr>
              <w:t>採</w:t>
            </w:r>
            <w:proofErr w:type="gramEnd"/>
            <w:r w:rsidRPr="00602DD7">
              <w:rPr>
                <w:rFonts w:eastAsia="標楷體" w:hAnsi="標楷體" w:hint="eastAsia"/>
                <w:snapToGrid w:val="0"/>
                <w:kern w:val="0"/>
              </w:rPr>
              <w:t>輸出者應依本法第三十八條規定辦理。</w:t>
            </w:r>
          </w:p>
          <w:p w:rsidR="004C2379" w:rsidRDefault="004C2379" w:rsidP="004C2379">
            <w:pPr>
              <w:overflowPunct w:val="0"/>
              <w:autoSpaceDE w:val="0"/>
              <w:autoSpaceDN w:val="0"/>
              <w:adjustRightInd w:val="0"/>
              <w:snapToGrid w:val="0"/>
              <w:spacing w:beforeLines="25" w:before="90"/>
              <w:ind w:leftChars="100" w:left="720" w:hangingChars="200" w:hanging="480"/>
              <w:jc w:val="both"/>
              <w:textDirection w:val="lrTbV"/>
              <w:textAlignment w:val="baseline"/>
              <w:rPr>
                <w:rFonts w:eastAsia="標楷體" w:hAnsi="標楷體"/>
                <w:snapToGrid w:val="0"/>
                <w:kern w:val="0"/>
              </w:rPr>
            </w:pPr>
            <w:r w:rsidRPr="00602DD7">
              <w:rPr>
                <w:rFonts w:eastAsia="標楷體" w:hAnsi="標楷體" w:hint="eastAsia"/>
                <w:snapToGrid w:val="0"/>
                <w:kern w:val="0"/>
              </w:rPr>
              <w:t>二、回收之廢容器非經中央主管機關許可不得直接以焚化或掩埋方式處理。</w:t>
            </w:r>
          </w:p>
          <w:p w:rsidR="004C2379" w:rsidRPr="00602DD7" w:rsidRDefault="004C2379" w:rsidP="004C2379">
            <w:pPr>
              <w:overflowPunct w:val="0"/>
              <w:autoSpaceDE w:val="0"/>
              <w:autoSpaceDN w:val="0"/>
              <w:adjustRightInd w:val="0"/>
              <w:snapToGrid w:val="0"/>
              <w:spacing w:beforeLines="25" w:before="90"/>
              <w:ind w:leftChars="100" w:left="720" w:hangingChars="200" w:hanging="480"/>
              <w:jc w:val="both"/>
              <w:textDirection w:val="lrTbV"/>
              <w:textAlignment w:val="baseline"/>
              <w:rPr>
                <w:rFonts w:eastAsia="標楷體" w:hAnsi="標楷體"/>
                <w:snapToGrid w:val="0"/>
                <w:kern w:val="0"/>
              </w:rPr>
            </w:pPr>
            <w:bookmarkStart w:id="0" w:name="_GoBack"/>
            <w:r w:rsidRPr="00E9798F">
              <w:rPr>
                <w:rFonts w:eastAsia="標楷體" w:hAnsi="標楷體" w:hint="eastAsia"/>
                <w:snapToGrid w:val="0"/>
                <w:kern w:val="0"/>
                <w:u w:val="single"/>
              </w:rPr>
              <w:t>三</w:t>
            </w:r>
            <w:r w:rsidRPr="00E9798F">
              <w:rPr>
                <w:rFonts w:eastAsia="標楷體" w:hAnsi="標楷體"/>
                <w:snapToGrid w:val="0"/>
                <w:kern w:val="0"/>
                <w:u w:val="single"/>
              </w:rPr>
              <w:t>、</w:t>
            </w:r>
            <w:r w:rsidRPr="00E9798F">
              <w:rPr>
                <w:rFonts w:eastAsia="標楷體" w:hAnsi="標楷體" w:hint="eastAsia"/>
                <w:snapToGrid w:val="0"/>
                <w:kern w:val="0"/>
                <w:u w:val="single"/>
              </w:rPr>
              <w:t>廢</w:t>
            </w:r>
            <w:bookmarkEnd w:id="0"/>
            <w:r w:rsidRPr="00602DD7">
              <w:rPr>
                <w:rFonts w:eastAsia="標楷體" w:hAnsi="標楷體" w:hint="eastAsia"/>
                <w:snapToGrid w:val="0"/>
                <w:kern w:val="0"/>
                <w:u w:val="single"/>
              </w:rPr>
              <w:t>容器處理設施停止運作達半年或處理能量未達前一年廢容器產出量之二分之一，致回收處理管道有受阻之虞時，得交由中央主管機關指定之一般廢棄物焚化廠焚化處理回收之廢容器</w:t>
            </w:r>
            <w:r w:rsidRPr="00AF3E84">
              <w:rPr>
                <w:rFonts w:eastAsia="標楷體" w:hAnsi="標楷體" w:hint="eastAsia"/>
                <w:snapToGrid w:val="0"/>
                <w:kern w:val="0"/>
                <w:u w:val="single"/>
              </w:rPr>
              <w:t>，</w:t>
            </w:r>
            <w:r>
              <w:rPr>
                <w:rFonts w:eastAsia="標楷體" w:hAnsi="標楷體" w:hint="eastAsia"/>
                <w:snapToGrid w:val="0"/>
                <w:kern w:val="0"/>
                <w:u w:val="single"/>
              </w:rPr>
              <w:t>不受前款之限制</w:t>
            </w:r>
            <w:r w:rsidRPr="00602DD7">
              <w:rPr>
                <w:rFonts w:eastAsia="標楷體" w:hAnsi="標楷體" w:hint="eastAsia"/>
                <w:snapToGrid w:val="0"/>
                <w:kern w:val="0"/>
                <w:u w:val="single"/>
              </w:rPr>
              <w:t>。</w:t>
            </w:r>
          </w:p>
          <w:p w:rsidR="004C2379" w:rsidRPr="00602DD7" w:rsidRDefault="004C2379" w:rsidP="004C2379">
            <w:pPr>
              <w:overflowPunct w:val="0"/>
              <w:autoSpaceDE w:val="0"/>
              <w:autoSpaceDN w:val="0"/>
              <w:adjustRightInd w:val="0"/>
              <w:snapToGrid w:val="0"/>
              <w:spacing w:beforeLines="25" w:before="90"/>
              <w:ind w:leftChars="100" w:left="720" w:hangingChars="200" w:hanging="480"/>
              <w:jc w:val="both"/>
              <w:textDirection w:val="lrTbV"/>
              <w:textAlignment w:val="baseline"/>
              <w:rPr>
                <w:rFonts w:ascii="標楷體" w:eastAsia="標楷體" w:hAnsi="標楷體"/>
                <w:snapToGrid w:val="0"/>
                <w:color w:val="000000"/>
                <w:kern w:val="0"/>
                <w:sz w:val="32"/>
                <w:szCs w:val="20"/>
              </w:rPr>
            </w:pPr>
            <w:r w:rsidRPr="00AF3E84">
              <w:rPr>
                <w:rFonts w:eastAsia="標楷體" w:hAnsi="標楷體" w:hint="eastAsia"/>
                <w:snapToGrid w:val="0"/>
                <w:kern w:val="0"/>
                <w:u w:val="single"/>
              </w:rPr>
              <w:t>四</w:t>
            </w:r>
            <w:r w:rsidRPr="00AF3E84">
              <w:rPr>
                <w:rFonts w:eastAsia="標楷體" w:hAnsi="標楷體"/>
                <w:snapToGrid w:val="0"/>
                <w:kern w:val="0"/>
                <w:u w:val="single"/>
              </w:rPr>
              <w:t>、</w:t>
            </w:r>
            <w:r w:rsidRPr="00602DD7">
              <w:rPr>
                <w:rFonts w:eastAsia="標楷體" w:hAnsi="標楷體" w:hint="eastAsia"/>
                <w:snapToGrid w:val="0"/>
                <w:kern w:val="0"/>
              </w:rPr>
              <w:t>其他經中央主管機關指定者。</w:t>
            </w:r>
          </w:p>
        </w:tc>
        <w:tc>
          <w:tcPr>
            <w:tcW w:w="2977" w:type="dxa"/>
            <w:tcBorders>
              <w:top w:val="single" w:sz="4" w:space="0" w:color="auto"/>
              <w:left w:val="single" w:sz="4" w:space="0" w:color="auto"/>
              <w:bottom w:val="single" w:sz="4" w:space="0" w:color="auto"/>
              <w:right w:val="single" w:sz="4" w:space="0" w:color="auto"/>
            </w:tcBorders>
          </w:tcPr>
          <w:p w:rsidR="004C2379" w:rsidRPr="00602DD7" w:rsidRDefault="004C2379" w:rsidP="007545DD">
            <w:pPr>
              <w:adjustRightInd w:val="0"/>
              <w:snapToGrid w:val="0"/>
              <w:ind w:leftChars="-11" w:left="240" w:hangingChars="111" w:hanging="266"/>
              <w:jc w:val="both"/>
              <w:textDirection w:val="lrTbV"/>
              <w:textAlignment w:val="baseline"/>
              <w:rPr>
                <w:rFonts w:eastAsia="標楷體" w:hAnsi="標楷體"/>
                <w:snapToGrid w:val="0"/>
                <w:kern w:val="0"/>
              </w:rPr>
            </w:pPr>
            <w:r w:rsidRPr="00602DD7">
              <w:rPr>
                <w:rFonts w:eastAsia="標楷體" w:hAnsi="標楷體"/>
                <w:snapToGrid w:val="0"/>
                <w:kern w:val="0"/>
              </w:rPr>
              <w:t>第</w:t>
            </w:r>
            <w:r w:rsidRPr="00602DD7">
              <w:rPr>
                <w:rFonts w:eastAsia="標楷體" w:hAnsi="標楷體" w:hint="eastAsia"/>
                <w:snapToGrid w:val="0"/>
                <w:kern w:val="0"/>
              </w:rPr>
              <w:t>八</w:t>
            </w:r>
            <w:r w:rsidRPr="00602DD7">
              <w:rPr>
                <w:rFonts w:eastAsia="標楷體" w:hAnsi="標楷體"/>
                <w:snapToGrid w:val="0"/>
                <w:kern w:val="0"/>
              </w:rPr>
              <w:t xml:space="preserve">條　</w:t>
            </w:r>
            <w:r w:rsidRPr="00602DD7">
              <w:rPr>
                <w:rFonts w:eastAsia="標楷體" w:hAnsi="標楷體" w:hint="eastAsia"/>
                <w:snapToGrid w:val="0"/>
                <w:kern w:val="0"/>
              </w:rPr>
              <w:t>廢容器之處理方法，應符合下列規定：</w:t>
            </w:r>
          </w:p>
          <w:p w:rsidR="004C2379" w:rsidRPr="00602DD7" w:rsidRDefault="004C2379" w:rsidP="004C2379">
            <w:pPr>
              <w:overflowPunct w:val="0"/>
              <w:autoSpaceDE w:val="0"/>
              <w:autoSpaceDN w:val="0"/>
              <w:adjustRightInd w:val="0"/>
              <w:snapToGrid w:val="0"/>
              <w:spacing w:beforeLines="25" w:before="90"/>
              <w:ind w:leftChars="100" w:left="720" w:hangingChars="200" w:hanging="480"/>
              <w:jc w:val="both"/>
              <w:textDirection w:val="lrTbV"/>
              <w:textAlignment w:val="baseline"/>
              <w:rPr>
                <w:rFonts w:eastAsia="標楷體" w:hAnsi="標楷體"/>
                <w:snapToGrid w:val="0"/>
                <w:kern w:val="0"/>
              </w:rPr>
            </w:pPr>
            <w:r w:rsidRPr="00602DD7">
              <w:rPr>
                <w:rFonts w:eastAsia="標楷體" w:hAnsi="標楷體"/>
                <w:snapToGrid w:val="0"/>
                <w:kern w:val="0"/>
              </w:rPr>
              <w:t>一、</w:t>
            </w:r>
            <w:r w:rsidRPr="00602DD7">
              <w:rPr>
                <w:rFonts w:eastAsia="標楷體" w:hAnsi="標楷體" w:hint="eastAsia"/>
                <w:snapToGrid w:val="0"/>
                <w:kern w:val="0"/>
              </w:rPr>
              <w:t>廢容器經處理產生之塑膠碎片、</w:t>
            </w:r>
            <w:proofErr w:type="gramStart"/>
            <w:r w:rsidRPr="00602DD7">
              <w:rPr>
                <w:rFonts w:eastAsia="標楷體" w:hAnsi="標楷體" w:hint="eastAsia"/>
                <w:snapToGrid w:val="0"/>
                <w:kern w:val="0"/>
              </w:rPr>
              <w:t>碎鐵、碎鋁、</w:t>
            </w:r>
            <w:proofErr w:type="gramEnd"/>
            <w:r w:rsidRPr="00602DD7">
              <w:rPr>
                <w:rFonts w:eastAsia="標楷體" w:hAnsi="標楷體" w:hint="eastAsia"/>
                <w:snapToGrid w:val="0"/>
                <w:kern w:val="0"/>
              </w:rPr>
              <w:t>玻璃碎屑、紙漿等物質，應依本法事業廢棄物之再利用相關規定，進行再利用；其</w:t>
            </w:r>
            <w:proofErr w:type="gramStart"/>
            <w:r w:rsidRPr="00602DD7">
              <w:rPr>
                <w:rFonts w:eastAsia="標楷體" w:hAnsi="標楷體" w:hint="eastAsia"/>
                <w:snapToGrid w:val="0"/>
                <w:kern w:val="0"/>
              </w:rPr>
              <w:t>採</w:t>
            </w:r>
            <w:proofErr w:type="gramEnd"/>
            <w:r w:rsidRPr="00602DD7">
              <w:rPr>
                <w:rFonts w:eastAsia="標楷體" w:hAnsi="標楷體" w:hint="eastAsia"/>
                <w:snapToGrid w:val="0"/>
                <w:kern w:val="0"/>
              </w:rPr>
              <w:t>輸出者應依本法第三十八條規定辦理。</w:t>
            </w:r>
          </w:p>
          <w:p w:rsidR="004C2379" w:rsidRPr="00602DD7" w:rsidRDefault="004C2379" w:rsidP="004C2379">
            <w:pPr>
              <w:overflowPunct w:val="0"/>
              <w:autoSpaceDE w:val="0"/>
              <w:autoSpaceDN w:val="0"/>
              <w:adjustRightInd w:val="0"/>
              <w:snapToGrid w:val="0"/>
              <w:spacing w:beforeLines="25" w:before="90"/>
              <w:ind w:leftChars="100" w:left="720" w:hangingChars="200" w:hanging="480"/>
              <w:jc w:val="both"/>
              <w:textDirection w:val="lrTbV"/>
              <w:textAlignment w:val="baseline"/>
              <w:rPr>
                <w:rFonts w:eastAsia="標楷體" w:hAnsi="標楷體"/>
                <w:snapToGrid w:val="0"/>
                <w:kern w:val="0"/>
              </w:rPr>
            </w:pPr>
            <w:r w:rsidRPr="00602DD7">
              <w:rPr>
                <w:rFonts w:eastAsia="標楷體" w:hAnsi="標楷體" w:hint="eastAsia"/>
                <w:snapToGrid w:val="0"/>
                <w:kern w:val="0"/>
              </w:rPr>
              <w:t>二、回收之廢容器非經中央主管機關許可不得直接以焚化或掩埋方式處理。</w:t>
            </w:r>
          </w:p>
          <w:p w:rsidR="004C2379" w:rsidRPr="00602DD7" w:rsidRDefault="004C2379" w:rsidP="004C2379">
            <w:pPr>
              <w:overflowPunct w:val="0"/>
              <w:autoSpaceDE w:val="0"/>
              <w:autoSpaceDN w:val="0"/>
              <w:adjustRightInd w:val="0"/>
              <w:snapToGrid w:val="0"/>
              <w:spacing w:beforeLines="25" w:before="90"/>
              <w:ind w:leftChars="100" w:left="720" w:hangingChars="200" w:hanging="480"/>
              <w:jc w:val="both"/>
              <w:textDirection w:val="lrTbV"/>
              <w:textAlignment w:val="baseline"/>
              <w:rPr>
                <w:rFonts w:eastAsia="標楷體"/>
                <w:snapToGrid w:val="0"/>
                <w:kern w:val="0"/>
              </w:rPr>
            </w:pPr>
            <w:r w:rsidRPr="001442BC">
              <w:rPr>
                <w:rFonts w:eastAsia="標楷體" w:hAnsi="標楷體" w:hint="eastAsia"/>
                <w:snapToGrid w:val="0"/>
                <w:kern w:val="0"/>
              </w:rPr>
              <w:t>三</w:t>
            </w:r>
            <w:r w:rsidRPr="001442BC">
              <w:rPr>
                <w:rFonts w:eastAsia="標楷體" w:hAnsi="標楷體"/>
                <w:snapToGrid w:val="0"/>
                <w:kern w:val="0"/>
              </w:rPr>
              <w:t>、</w:t>
            </w:r>
            <w:r w:rsidRPr="00602DD7">
              <w:rPr>
                <w:rFonts w:eastAsia="標楷體" w:hAnsi="標楷體" w:hint="eastAsia"/>
                <w:snapToGrid w:val="0"/>
                <w:kern w:val="0"/>
              </w:rPr>
              <w:t>其他經中央主管機關指定者。</w:t>
            </w:r>
          </w:p>
        </w:tc>
        <w:tc>
          <w:tcPr>
            <w:tcW w:w="2835" w:type="dxa"/>
            <w:tcBorders>
              <w:top w:val="single" w:sz="6" w:space="0" w:color="auto"/>
              <w:left w:val="single" w:sz="4" w:space="0" w:color="auto"/>
              <w:bottom w:val="single" w:sz="6" w:space="0" w:color="auto"/>
              <w:right w:val="single" w:sz="6" w:space="0" w:color="auto"/>
            </w:tcBorders>
          </w:tcPr>
          <w:p w:rsidR="004C2379" w:rsidRDefault="004C2379" w:rsidP="007545DD">
            <w:pPr>
              <w:adjustRightInd w:val="0"/>
              <w:snapToGrid w:val="0"/>
              <w:ind w:left="420" w:hangingChars="175" w:hanging="420"/>
              <w:jc w:val="both"/>
              <w:textAlignment w:val="baseline"/>
              <w:rPr>
                <w:rFonts w:eastAsia="標楷體" w:hAnsi="標楷體"/>
                <w:snapToGrid w:val="0"/>
                <w:kern w:val="0"/>
              </w:rPr>
            </w:pPr>
            <w:r w:rsidRPr="00602DD7">
              <w:rPr>
                <w:rFonts w:eastAsia="標楷體" w:hAnsi="標楷體" w:hint="eastAsia"/>
                <w:snapToGrid w:val="0"/>
                <w:kern w:val="0"/>
              </w:rPr>
              <w:t>一、</w:t>
            </w:r>
            <w:r>
              <w:rPr>
                <w:rFonts w:eastAsia="標楷體" w:hAnsi="標楷體" w:hint="eastAsia"/>
                <w:snapToGrid w:val="0"/>
                <w:kern w:val="0"/>
              </w:rPr>
              <w:t>為預防及解決</w:t>
            </w:r>
            <w:r w:rsidRPr="00602DD7">
              <w:rPr>
                <w:rFonts w:eastAsia="標楷體" w:hAnsi="標楷體" w:hint="eastAsia"/>
                <w:snapToGrid w:val="0"/>
                <w:kern w:val="0"/>
              </w:rPr>
              <w:t>廢容器處理設施停止運作或處理能量未能消化廢容器產出量時，將導致廢容器處理管道受阻，造成民眾回收後無去化管道之民怨。經評估處理業者興建或擴充處理設施及辦理相關申請或變更作業</w:t>
            </w:r>
            <w:proofErr w:type="gramStart"/>
            <w:r w:rsidRPr="00602DD7">
              <w:rPr>
                <w:rFonts w:eastAsia="標楷體" w:hAnsi="標楷體" w:hint="eastAsia"/>
                <w:snapToGrid w:val="0"/>
                <w:kern w:val="0"/>
              </w:rPr>
              <w:t>所需期程</w:t>
            </w:r>
            <w:proofErr w:type="gramEnd"/>
            <w:r w:rsidRPr="00602DD7">
              <w:rPr>
                <w:rFonts w:eastAsia="標楷體" w:hAnsi="標楷體" w:hint="eastAsia"/>
                <w:snapToGrid w:val="0"/>
                <w:kern w:val="0"/>
              </w:rPr>
              <w:t>至少需半年，</w:t>
            </w:r>
            <w:proofErr w:type="gramStart"/>
            <w:r>
              <w:rPr>
                <w:rFonts w:eastAsia="標楷體" w:hAnsi="標楷體" w:hint="eastAsia"/>
                <w:snapToGrid w:val="0"/>
                <w:kern w:val="0"/>
              </w:rPr>
              <w:t>爰</w:t>
            </w:r>
            <w:proofErr w:type="gramEnd"/>
            <w:r>
              <w:rPr>
                <w:rFonts w:eastAsia="標楷體" w:hAnsi="標楷體" w:hint="eastAsia"/>
                <w:snapToGrid w:val="0"/>
                <w:kern w:val="0"/>
              </w:rPr>
              <w:t>增訂第三款</w:t>
            </w:r>
            <w:r w:rsidRPr="006849B1">
              <w:rPr>
                <w:rFonts w:eastAsia="標楷體" w:hAnsi="標楷體" w:hint="eastAsia"/>
                <w:snapToGrid w:val="0"/>
                <w:kern w:val="0"/>
              </w:rPr>
              <w:t>，</w:t>
            </w:r>
            <w:r>
              <w:rPr>
                <w:rFonts w:eastAsia="標楷體" w:hAnsi="標楷體" w:hint="eastAsia"/>
                <w:snapToGrid w:val="0"/>
                <w:kern w:val="0"/>
              </w:rPr>
              <w:t>於</w:t>
            </w:r>
            <w:r w:rsidRPr="00602DD7">
              <w:rPr>
                <w:rFonts w:eastAsia="標楷體" w:hAnsi="標楷體" w:hint="eastAsia"/>
                <w:snapToGrid w:val="0"/>
                <w:kern w:val="0"/>
              </w:rPr>
              <w:t>處理設施停止運作或能量不足時，</w:t>
            </w:r>
            <w:proofErr w:type="gramStart"/>
            <w:r w:rsidRPr="00602DD7">
              <w:rPr>
                <w:rFonts w:eastAsia="標楷體" w:hAnsi="標楷體" w:hint="eastAsia"/>
                <w:snapToGrid w:val="0"/>
                <w:kern w:val="0"/>
              </w:rPr>
              <w:t>由本署</w:t>
            </w:r>
            <w:r>
              <w:rPr>
                <w:rFonts w:eastAsia="標楷體" w:hAnsi="標楷體" w:hint="eastAsia"/>
                <w:snapToGrid w:val="0"/>
                <w:kern w:val="0"/>
              </w:rPr>
              <w:t>協</w:t>
            </w:r>
            <w:r w:rsidRPr="00602DD7">
              <w:rPr>
                <w:rFonts w:eastAsia="標楷體" w:hAnsi="標楷體" w:hint="eastAsia"/>
                <w:snapToGrid w:val="0"/>
                <w:kern w:val="0"/>
              </w:rPr>
              <w:t>調</w:t>
            </w:r>
            <w:proofErr w:type="gramEnd"/>
            <w:r w:rsidRPr="00602DD7">
              <w:rPr>
                <w:rFonts w:eastAsia="標楷體" w:hAnsi="標楷體" w:hint="eastAsia"/>
                <w:snapToGrid w:val="0"/>
                <w:kern w:val="0"/>
              </w:rPr>
              <w:t>一般廢棄物焚化廠焚化處理</w:t>
            </w:r>
            <w:r>
              <w:rPr>
                <w:rFonts w:eastAsia="標楷體" w:hAnsi="標楷體" w:hint="eastAsia"/>
                <w:snapToGrid w:val="0"/>
                <w:kern w:val="0"/>
              </w:rPr>
              <w:t>公告應回收之廢容器</w:t>
            </w:r>
            <w:r w:rsidRPr="00602DD7">
              <w:rPr>
                <w:rFonts w:eastAsia="標楷體" w:hAnsi="標楷體" w:hint="eastAsia"/>
                <w:snapToGrid w:val="0"/>
                <w:kern w:val="0"/>
              </w:rPr>
              <w:t>，</w:t>
            </w:r>
            <w:r>
              <w:rPr>
                <w:rFonts w:eastAsia="標楷體" w:hAnsi="標楷體" w:hint="eastAsia"/>
                <w:snapToGrid w:val="0"/>
                <w:kern w:val="0"/>
              </w:rPr>
              <w:t>以為因應</w:t>
            </w:r>
            <w:r w:rsidRPr="00602DD7">
              <w:rPr>
                <w:rFonts w:eastAsia="標楷體" w:hAnsi="標楷體" w:hint="eastAsia"/>
                <w:snapToGrid w:val="0"/>
                <w:kern w:val="0"/>
              </w:rPr>
              <w:t>。</w:t>
            </w:r>
          </w:p>
          <w:p w:rsidR="004C2379" w:rsidRPr="00602DD7" w:rsidRDefault="004C2379" w:rsidP="007545DD">
            <w:pPr>
              <w:adjustRightInd w:val="0"/>
              <w:snapToGrid w:val="0"/>
              <w:ind w:left="420" w:hangingChars="175" w:hanging="420"/>
              <w:jc w:val="both"/>
              <w:textAlignment w:val="baseline"/>
              <w:rPr>
                <w:rFonts w:eastAsia="標楷體" w:hAnsi="標楷體"/>
                <w:snapToGrid w:val="0"/>
                <w:kern w:val="0"/>
              </w:rPr>
            </w:pPr>
            <w:r>
              <w:rPr>
                <w:rFonts w:eastAsia="標楷體" w:hAnsi="標楷體" w:hint="eastAsia"/>
                <w:snapToGrid w:val="0"/>
                <w:kern w:val="0"/>
              </w:rPr>
              <w:t>二</w:t>
            </w:r>
            <w:r w:rsidRPr="00602DD7">
              <w:rPr>
                <w:rFonts w:eastAsia="標楷體" w:hAnsi="標楷體" w:hint="eastAsia"/>
                <w:snapToGrid w:val="0"/>
                <w:kern w:val="0"/>
              </w:rPr>
              <w:t>、</w:t>
            </w:r>
            <w:r>
              <w:rPr>
                <w:rFonts w:eastAsia="標楷體" w:hAnsi="標楷體" w:hint="eastAsia"/>
                <w:snapToGrid w:val="0"/>
                <w:kern w:val="0"/>
              </w:rPr>
              <w:t>現行條文</w:t>
            </w:r>
            <w:r>
              <w:rPr>
                <w:rFonts w:ascii="標楷體" w:eastAsia="標楷體" w:hAnsi="標楷體" w:hint="eastAsia"/>
              </w:rPr>
              <w:t>第三款</w:t>
            </w:r>
            <w:r w:rsidRPr="002F351F">
              <w:rPr>
                <w:rFonts w:ascii="標楷體" w:eastAsia="標楷體" w:hAnsi="標楷體" w:hint="eastAsia"/>
                <w:kern w:val="0"/>
              </w:rPr>
              <w:t>移至修正條文第</w:t>
            </w:r>
            <w:r>
              <w:rPr>
                <w:rFonts w:ascii="標楷體" w:eastAsia="標楷體" w:hAnsi="標楷體" w:hint="eastAsia"/>
                <w:kern w:val="0"/>
              </w:rPr>
              <w:t>四</w:t>
            </w:r>
            <w:r w:rsidRPr="002F351F">
              <w:rPr>
                <w:rFonts w:ascii="標楷體" w:eastAsia="標楷體" w:hAnsi="標楷體" w:hint="eastAsia"/>
                <w:kern w:val="0"/>
              </w:rPr>
              <w:t>款</w:t>
            </w:r>
            <w:r w:rsidRPr="00602DD7">
              <w:rPr>
                <w:rFonts w:eastAsia="標楷體" w:hAnsi="標楷體" w:hint="eastAsia"/>
                <w:snapToGrid w:val="0"/>
                <w:kern w:val="0"/>
              </w:rPr>
              <w:t>。</w:t>
            </w:r>
          </w:p>
        </w:tc>
      </w:tr>
    </w:tbl>
    <w:p w:rsidR="0071433B" w:rsidRDefault="0071433B" w:rsidP="004C2379"/>
    <w:sectPr w:rsidR="0071433B" w:rsidSect="004C2379">
      <w:pgSz w:w="11906" w:h="16838"/>
      <w:pgMar w:top="1134" w:right="1797" w:bottom="1134" w:left="17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4788" w:rsidRDefault="00F64788" w:rsidP="006F3086">
      <w:r>
        <w:separator/>
      </w:r>
    </w:p>
  </w:endnote>
  <w:endnote w:type="continuationSeparator" w:id="0">
    <w:p w:rsidR="00F64788" w:rsidRDefault="00F64788" w:rsidP="006F30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全字庫正楷體">
    <w:charset w:val="88"/>
    <w:family w:val="auto"/>
    <w:pitch w:val="variable"/>
    <w:sig w:usb0="F7FFBEFF" w:usb1="E9DFFFFF" w:usb2="0007FFFF" w:usb3="00000000" w:csb0="001D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4788" w:rsidRDefault="00F64788" w:rsidP="006F3086">
      <w:r>
        <w:separator/>
      </w:r>
    </w:p>
  </w:footnote>
  <w:footnote w:type="continuationSeparator" w:id="0">
    <w:p w:rsidR="00F64788" w:rsidRDefault="00F64788" w:rsidP="006F308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2379"/>
    <w:rsid w:val="001752B1"/>
    <w:rsid w:val="001D1F13"/>
    <w:rsid w:val="00406254"/>
    <w:rsid w:val="004236A0"/>
    <w:rsid w:val="00484CA1"/>
    <w:rsid w:val="004C2379"/>
    <w:rsid w:val="005D7FAB"/>
    <w:rsid w:val="006F3086"/>
    <w:rsid w:val="0071433B"/>
    <w:rsid w:val="00895166"/>
    <w:rsid w:val="00B5497F"/>
    <w:rsid w:val="00E9798F"/>
    <w:rsid w:val="00F6478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37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C2379"/>
    <w:rPr>
      <w:rFonts w:ascii="標楷體" w:eastAsia="標楷體" w:hAnsi="標楷體"/>
      <w:sz w:val="36"/>
    </w:rPr>
  </w:style>
  <w:style w:type="character" w:customStyle="1" w:styleId="a4">
    <w:name w:val="本文 字元"/>
    <w:basedOn w:val="a0"/>
    <w:link w:val="a3"/>
    <w:rsid w:val="004C2379"/>
    <w:rPr>
      <w:rFonts w:ascii="標楷體" w:eastAsia="標楷體" w:hAnsi="標楷體" w:cs="Times New Roman"/>
      <w:sz w:val="36"/>
      <w:szCs w:val="24"/>
    </w:rPr>
  </w:style>
  <w:style w:type="paragraph" w:styleId="a5">
    <w:name w:val="header"/>
    <w:basedOn w:val="a"/>
    <w:link w:val="a6"/>
    <w:uiPriority w:val="99"/>
    <w:unhideWhenUsed/>
    <w:rsid w:val="006F3086"/>
    <w:pPr>
      <w:tabs>
        <w:tab w:val="center" w:pos="4153"/>
        <w:tab w:val="right" w:pos="8306"/>
      </w:tabs>
      <w:snapToGrid w:val="0"/>
    </w:pPr>
    <w:rPr>
      <w:sz w:val="20"/>
      <w:szCs w:val="20"/>
    </w:rPr>
  </w:style>
  <w:style w:type="character" w:customStyle="1" w:styleId="a6">
    <w:name w:val="頁首 字元"/>
    <w:basedOn w:val="a0"/>
    <w:link w:val="a5"/>
    <w:uiPriority w:val="99"/>
    <w:rsid w:val="006F3086"/>
    <w:rPr>
      <w:rFonts w:ascii="Times New Roman" w:eastAsia="新細明體" w:hAnsi="Times New Roman" w:cs="Times New Roman"/>
      <w:sz w:val="20"/>
      <w:szCs w:val="20"/>
    </w:rPr>
  </w:style>
  <w:style w:type="paragraph" w:styleId="a7">
    <w:name w:val="footer"/>
    <w:basedOn w:val="a"/>
    <w:link w:val="a8"/>
    <w:uiPriority w:val="99"/>
    <w:unhideWhenUsed/>
    <w:rsid w:val="006F3086"/>
    <w:pPr>
      <w:tabs>
        <w:tab w:val="center" w:pos="4153"/>
        <w:tab w:val="right" w:pos="8306"/>
      </w:tabs>
      <w:snapToGrid w:val="0"/>
    </w:pPr>
    <w:rPr>
      <w:sz w:val="20"/>
      <w:szCs w:val="20"/>
    </w:rPr>
  </w:style>
  <w:style w:type="character" w:customStyle="1" w:styleId="a8">
    <w:name w:val="頁尾 字元"/>
    <w:basedOn w:val="a0"/>
    <w:link w:val="a7"/>
    <w:uiPriority w:val="99"/>
    <w:rsid w:val="006F3086"/>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2379"/>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4C2379"/>
    <w:rPr>
      <w:rFonts w:ascii="標楷體" w:eastAsia="標楷體" w:hAnsi="標楷體"/>
      <w:sz w:val="36"/>
    </w:rPr>
  </w:style>
  <w:style w:type="character" w:customStyle="1" w:styleId="a4">
    <w:name w:val="本文 字元"/>
    <w:basedOn w:val="a0"/>
    <w:link w:val="a3"/>
    <w:rsid w:val="004C2379"/>
    <w:rPr>
      <w:rFonts w:ascii="標楷體" w:eastAsia="標楷體" w:hAnsi="標楷體" w:cs="Times New Roman"/>
      <w:sz w:val="36"/>
      <w:szCs w:val="24"/>
    </w:rPr>
  </w:style>
  <w:style w:type="paragraph" w:styleId="a5">
    <w:name w:val="header"/>
    <w:basedOn w:val="a"/>
    <w:link w:val="a6"/>
    <w:uiPriority w:val="99"/>
    <w:unhideWhenUsed/>
    <w:rsid w:val="006F3086"/>
    <w:pPr>
      <w:tabs>
        <w:tab w:val="center" w:pos="4153"/>
        <w:tab w:val="right" w:pos="8306"/>
      </w:tabs>
      <w:snapToGrid w:val="0"/>
    </w:pPr>
    <w:rPr>
      <w:sz w:val="20"/>
      <w:szCs w:val="20"/>
    </w:rPr>
  </w:style>
  <w:style w:type="character" w:customStyle="1" w:styleId="a6">
    <w:name w:val="頁首 字元"/>
    <w:basedOn w:val="a0"/>
    <w:link w:val="a5"/>
    <w:uiPriority w:val="99"/>
    <w:rsid w:val="006F3086"/>
    <w:rPr>
      <w:rFonts w:ascii="Times New Roman" w:eastAsia="新細明體" w:hAnsi="Times New Roman" w:cs="Times New Roman"/>
      <w:sz w:val="20"/>
      <w:szCs w:val="20"/>
    </w:rPr>
  </w:style>
  <w:style w:type="paragraph" w:styleId="a7">
    <w:name w:val="footer"/>
    <w:basedOn w:val="a"/>
    <w:link w:val="a8"/>
    <w:uiPriority w:val="99"/>
    <w:unhideWhenUsed/>
    <w:rsid w:val="006F3086"/>
    <w:pPr>
      <w:tabs>
        <w:tab w:val="center" w:pos="4153"/>
        <w:tab w:val="right" w:pos="8306"/>
      </w:tabs>
      <w:snapToGrid w:val="0"/>
    </w:pPr>
    <w:rPr>
      <w:sz w:val="20"/>
      <w:szCs w:val="20"/>
    </w:rPr>
  </w:style>
  <w:style w:type="character" w:customStyle="1" w:styleId="a8">
    <w:name w:val="頁尾 字元"/>
    <w:basedOn w:val="a0"/>
    <w:link w:val="a7"/>
    <w:uiPriority w:val="99"/>
    <w:rsid w:val="006F3086"/>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186</Words>
  <Characters>1064</Characters>
  <Application>Microsoft Office Word</Application>
  <DocSecurity>0</DocSecurity>
  <Lines>8</Lines>
  <Paragraphs>2</Paragraphs>
  <ScaleCrop>false</ScaleCrop>
  <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張紹欣</dc:creator>
  <cp:lastModifiedBy>張紹欣</cp:lastModifiedBy>
  <cp:revision>6</cp:revision>
  <cp:lastPrinted>2014-12-02T06:23:00Z</cp:lastPrinted>
  <dcterms:created xsi:type="dcterms:W3CDTF">2014-11-26T07:44:00Z</dcterms:created>
  <dcterms:modified xsi:type="dcterms:W3CDTF">2014-12-16T06:25:00Z</dcterms:modified>
</cp:coreProperties>
</file>