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51" w:rsidRDefault="00451D51" w:rsidP="00451D51">
      <w:pPr>
        <w:rPr>
          <w:rFonts w:ascii="Times New Roman" w:hAnsi="Times New Roman"/>
          <w:color w:val="000000"/>
          <w:sz w:val="32"/>
          <w:szCs w:val="24"/>
        </w:rPr>
      </w:pPr>
    </w:p>
    <w:p w:rsidR="00451D51" w:rsidRPr="00BD5467" w:rsidRDefault="00451D51" w:rsidP="00451D51">
      <w:pPr>
        <w:snapToGri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D5467">
        <w:rPr>
          <w:rFonts w:ascii="Times New Roman" w:hAnsi="Times New Roman"/>
          <w:b/>
          <w:color w:val="000000"/>
          <w:sz w:val="24"/>
          <w:szCs w:val="24"/>
        </w:rPr>
        <w:t>Legislative Yuan passes Greenhouse Gas Emission Reduction and Management Ac</w:t>
      </w:r>
      <w:r>
        <w:rPr>
          <w:rFonts w:ascii="Times New Roman" w:hAnsi="Times New Roman"/>
          <w:b/>
          <w:color w:val="000000"/>
          <w:sz w:val="24"/>
          <w:szCs w:val="24"/>
        </w:rPr>
        <w:t>t</w:t>
      </w:r>
    </w:p>
    <w:p w:rsidR="00451D51" w:rsidRPr="007C5D74" w:rsidRDefault="00451D51" w:rsidP="00451D51">
      <w:pPr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51D51" w:rsidRPr="007C5D74" w:rsidRDefault="00451D51" w:rsidP="00451D51">
      <w:pPr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C5D74">
        <w:rPr>
          <w:rFonts w:ascii="Times New Roman" w:hAnsi="Times New Roman"/>
          <w:color w:val="000000"/>
          <w:sz w:val="24"/>
          <w:szCs w:val="24"/>
        </w:rPr>
        <w:t xml:space="preserve">The Legislative Yuan </w:t>
      </w:r>
      <w:r w:rsidRPr="00BD5467">
        <w:rPr>
          <w:rFonts w:ascii="Times New Roman" w:hAnsi="Times New Roman"/>
          <w:color w:val="000000"/>
          <w:sz w:val="24"/>
          <w:szCs w:val="24"/>
          <w:highlight w:val="yellow"/>
        </w:rPr>
        <w:t>on Monday, June 15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passed the Greenhouse Gas Emission Reduction and Management Act, providing a </w:t>
      </w:r>
      <w:r>
        <w:rPr>
          <w:rFonts w:ascii="Times New Roman" w:hAnsi="Times New Roman"/>
          <w:color w:val="000000"/>
          <w:sz w:val="24"/>
          <w:szCs w:val="24"/>
        </w:rPr>
        <w:t xml:space="preserve">legal 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basis for </w:t>
      </w:r>
      <w:r>
        <w:rPr>
          <w:rFonts w:ascii="Times New Roman" w:hAnsi="Times New Roman"/>
          <w:color w:val="000000"/>
          <w:sz w:val="24"/>
          <w:szCs w:val="24"/>
        </w:rPr>
        <w:t>an array of response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measures to climate change</w:t>
      </w:r>
      <w:r>
        <w:rPr>
          <w:rFonts w:ascii="Times New Roman" w:hAnsi="Times New Roman"/>
          <w:color w:val="000000"/>
          <w:sz w:val="24"/>
          <w:szCs w:val="24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color w:val="000000"/>
              <w:sz w:val="24"/>
              <w:szCs w:val="24"/>
            </w:rPr>
            <w:t>Taiwan</w:t>
          </w:r>
        </w:smartTag>
      </w:smartTag>
      <w:r w:rsidRPr="007C5D74">
        <w:rPr>
          <w:rFonts w:ascii="Times New Roman" w:hAnsi="Times New Roman"/>
          <w:color w:val="000000"/>
          <w:sz w:val="24"/>
          <w:szCs w:val="24"/>
        </w:rPr>
        <w:t>. The act was passed ahead of UNFCCC COP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5D7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1, which is slated to take place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at year-end in </w:t>
      </w:r>
      <w:smartTag w:uri="urn:schemas-microsoft-com:office:smarttags" w:element="country-region">
        <w:r w:rsidRPr="007C5D74">
          <w:rPr>
            <w:rFonts w:ascii="Times New Roman" w:hAnsi="Times New Roman"/>
            <w:color w:val="000000"/>
            <w:sz w:val="24"/>
            <w:szCs w:val="24"/>
          </w:rPr>
          <w:t>Paris</w:t>
        </w:r>
      </w:smartTag>
      <w:r w:rsidRPr="007C5D7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The fact that the </w:t>
      </w:r>
      <w:r w:rsidRPr="007C5D74">
        <w:rPr>
          <w:rFonts w:ascii="Times New Roman" w:hAnsi="Times New Roman"/>
          <w:color w:val="000000"/>
          <w:sz w:val="24"/>
          <w:szCs w:val="24"/>
        </w:rPr>
        <w:t>Greenhouse Gas Emission Reduction and Management Act</w:t>
      </w:r>
      <w:r>
        <w:rPr>
          <w:rFonts w:ascii="Times New Roman" w:hAnsi="Times New Roman"/>
          <w:color w:val="000000"/>
          <w:sz w:val="24"/>
          <w:szCs w:val="24"/>
        </w:rPr>
        <w:t xml:space="preserve"> cleared the Legislative Yuan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is significant because it demonstrates </w:t>
      </w:r>
      <w:smartTag w:uri="urn:schemas-microsoft-com:office:smarttags" w:element="country-region">
        <w:r w:rsidRPr="007C5D74">
          <w:rPr>
            <w:rFonts w:ascii="Times New Roman" w:hAnsi="Times New Roman"/>
            <w:color w:val="000000"/>
            <w:sz w:val="24"/>
            <w:szCs w:val="24"/>
          </w:rPr>
          <w:t>Taiwan</w:t>
        </w:r>
      </w:smartTag>
      <w:r w:rsidRPr="007C5D74">
        <w:rPr>
          <w:rFonts w:ascii="Times New Roman" w:hAnsi="Times New Roman"/>
          <w:color w:val="000000"/>
          <w:sz w:val="24"/>
          <w:szCs w:val="24"/>
        </w:rPr>
        <w:t xml:space="preserve">’s commitment to protecting </w:t>
      </w:r>
      <w:r>
        <w:rPr>
          <w:rFonts w:ascii="Times New Roman" w:hAnsi="Times New Roman"/>
          <w:color w:val="000000"/>
          <w:sz w:val="24"/>
          <w:szCs w:val="24"/>
        </w:rPr>
        <w:t>the environment i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z w:val="24"/>
          <w:szCs w:val="24"/>
        </w:rPr>
        <w:t>line with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the global trend of </w:t>
      </w:r>
      <w:r>
        <w:rPr>
          <w:rFonts w:ascii="Times New Roman" w:hAnsi="Times New Roman"/>
          <w:color w:val="000000"/>
          <w:sz w:val="24"/>
          <w:szCs w:val="24"/>
        </w:rPr>
        <w:t>reducing carbon dioxide emissions.</w:t>
      </w:r>
    </w:p>
    <w:p w:rsidR="00451D51" w:rsidRPr="007C5D74" w:rsidRDefault="00451D51" w:rsidP="00451D51">
      <w:pPr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51D51" w:rsidRPr="007C5D74" w:rsidRDefault="00451D51" w:rsidP="00451D51">
      <w:pPr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C5D74">
        <w:rPr>
          <w:rFonts w:ascii="Times New Roman" w:hAnsi="Times New Roman"/>
          <w:color w:val="000000"/>
          <w:sz w:val="24"/>
          <w:szCs w:val="24"/>
        </w:rPr>
        <w:t xml:space="preserve">Apart from stipulating an emission reduction </w:t>
      </w:r>
      <w:r>
        <w:rPr>
          <w:rFonts w:ascii="Times New Roman" w:hAnsi="Times New Roman"/>
          <w:color w:val="000000"/>
          <w:sz w:val="24"/>
          <w:szCs w:val="24"/>
        </w:rPr>
        <w:t>target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that shall be met by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2050 and </w:t>
      </w:r>
      <w:r>
        <w:rPr>
          <w:rFonts w:ascii="Times New Roman" w:hAnsi="Times New Roman"/>
          <w:color w:val="000000"/>
          <w:sz w:val="24"/>
          <w:szCs w:val="24"/>
        </w:rPr>
        <w:t xml:space="preserve">other related 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measures, the Greenhouse Gas Emission Reduction and Management Act </w:t>
      </w:r>
      <w:r>
        <w:rPr>
          <w:rFonts w:ascii="Times New Roman" w:hAnsi="Times New Roman"/>
          <w:color w:val="000000"/>
          <w:sz w:val="24"/>
          <w:szCs w:val="24"/>
        </w:rPr>
        <w:t>calls for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periodic five-year reduction targets and offers 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economic incentives in order to gradually establish </w:t>
      </w:r>
      <w:r>
        <w:rPr>
          <w:rFonts w:ascii="Times New Roman" w:hAnsi="Times New Roman"/>
          <w:color w:val="000000"/>
          <w:sz w:val="24"/>
          <w:szCs w:val="24"/>
        </w:rPr>
        <w:t>a cap and trade system as well as promote both mitigation and adaptation measures</w:t>
      </w:r>
      <w:r w:rsidRPr="007C5D74">
        <w:rPr>
          <w:rFonts w:ascii="Times New Roman" w:hAnsi="Times New Roman"/>
          <w:color w:val="000000"/>
          <w:sz w:val="24"/>
          <w:szCs w:val="24"/>
        </w:rPr>
        <w:t>.</w:t>
      </w:r>
    </w:p>
    <w:p w:rsidR="00451D51" w:rsidRPr="00372231" w:rsidRDefault="00451D51" w:rsidP="00451D51">
      <w:pPr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51D51" w:rsidRPr="00BD5467" w:rsidRDefault="00451D51" w:rsidP="00451D51">
      <w:pPr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C5D74">
        <w:rPr>
          <w:rFonts w:ascii="Times New Roman" w:hAnsi="Times New Roman"/>
          <w:color w:val="000000"/>
          <w:sz w:val="24"/>
          <w:szCs w:val="24"/>
        </w:rPr>
        <w:t>As the central competent authority on climate change policies</w:t>
      </w:r>
      <w:r>
        <w:rPr>
          <w:rFonts w:ascii="Times New Roman" w:hAnsi="Times New Roman"/>
          <w:color w:val="000000"/>
          <w:sz w:val="24"/>
          <w:szCs w:val="24"/>
        </w:rPr>
        <w:t xml:space="preserve"> in </w:t>
      </w:r>
      <w:smartTag w:uri="urn:schemas-microsoft-com:office:smarttags" w:element="country-region">
        <w:r>
          <w:rPr>
            <w:rFonts w:ascii="Times New Roman" w:hAnsi="Times New Roman"/>
            <w:color w:val="000000"/>
            <w:sz w:val="24"/>
            <w:szCs w:val="24"/>
          </w:rPr>
          <w:t>Taiwan</w:t>
        </w:r>
      </w:smartTag>
      <w:r w:rsidRPr="007C5D74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Environmental Protection Administration</w:t>
      </w:r>
      <w:r>
        <w:rPr>
          <w:rFonts w:ascii="Times New Roman" w:hAnsi="Times New Roman"/>
          <w:color w:val="000000"/>
          <w:sz w:val="24"/>
          <w:szCs w:val="24"/>
        </w:rPr>
        <w:t xml:space="preserve"> (EPA)</w:t>
      </w:r>
      <w:r w:rsidRPr="007C5D74">
        <w:rPr>
          <w:rFonts w:ascii="Times New Roman" w:hAnsi="Times New Roman"/>
          <w:color w:val="000000"/>
          <w:sz w:val="24"/>
          <w:szCs w:val="24"/>
        </w:rPr>
        <w:t>, in consultation with the relevant authorities, established emission source performance standard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voluntary reduction incentives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in order to encourage business</w:t>
      </w:r>
      <w:r>
        <w:rPr>
          <w:rFonts w:ascii="Times New Roman" w:hAnsi="Times New Roman"/>
          <w:color w:val="000000"/>
          <w:sz w:val="24"/>
          <w:szCs w:val="24"/>
        </w:rPr>
        <w:t>es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to reduce </w:t>
      </w:r>
      <w:r>
        <w:rPr>
          <w:rFonts w:ascii="Times New Roman" w:hAnsi="Times New Roman"/>
          <w:color w:val="000000"/>
          <w:sz w:val="24"/>
          <w:szCs w:val="24"/>
        </w:rPr>
        <w:t xml:space="preserve">greenhouse gas emissions. In the process of drafting these measures, the government has taken </w:t>
      </w:r>
      <w:r w:rsidRPr="00BD5467">
        <w:rPr>
          <w:rFonts w:ascii="Times New Roman" w:hAnsi="Times New Roman"/>
          <w:color w:val="000000"/>
          <w:sz w:val="24"/>
          <w:szCs w:val="24"/>
        </w:rPr>
        <w:t>international negotiations over climate change into account and ha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BD5467">
        <w:rPr>
          <w:rFonts w:ascii="Times New Roman" w:hAnsi="Times New Roman"/>
          <w:color w:val="000000"/>
          <w:sz w:val="24"/>
          <w:szCs w:val="24"/>
        </w:rPr>
        <w:t xml:space="preserve"> also sought to ensure the competitive edge of </w:t>
      </w:r>
      <w:smartTag w:uri="urn:schemas-microsoft-com:office:smarttags" w:element="country-region">
        <w:r>
          <w:rPr>
            <w:rFonts w:ascii="Times New Roman" w:hAnsi="Times New Roman"/>
            <w:color w:val="000000"/>
            <w:sz w:val="24"/>
            <w:szCs w:val="24"/>
          </w:rPr>
          <w:t>Taiwan</w:t>
        </w:r>
      </w:smartTag>
      <w:r>
        <w:rPr>
          <w:rFonts w:ascii="Times New Roman" w:hAnsi="Times New Roman"/>
          <w:color w:val="000000"/>
          <w:sz w:val="24"/>
          <w:szCs w:val="24"/>
        </w:rPr>
        <w:t>’s</w:t>
      </w:r>
      <w:r w:rsidRPr="00BD5467">
        <w:rPr>
          <w:rFonts w:ascii="Times New Roman" w:hAnsi="Times New Roman"/>
          <w:color w:val="000000"/>
          <w:sz w:val="24"/>
          <w:szCs w:val="24"/>
        </w:rPr>
        <w:t xml:space="preserve"> industries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D5467">
        <w:rPr>
          <w:rFonts w:ascii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hAnsi="Times New Roman"/>
          <w:color w:val="000000"/>
          <w:sz w:val="24"/>
          <w:szCs w:val="24"/>
        </w:rPr>
        <w:t>its</w:t>
      </w:r>
      <w:r w:rsidRPr="00BD5467">
        <w:rPr>
          <w:rFonts w:ascii="Times New Roman" w:hAnsi="Times New Roman"/>
          <w:color w:val="000000"/>
          <w:sz w:val="24"/>
          <w:szCs w:val="24"/>
        </w:rPr>
        <w:t xml:space="preserve"> goal to gradually establish a cap and trade system in which limits on emissions </w:t>
      </w:r>
      <w:r>
        <w:rPr>
          <w:rFonts w:ascii="Times New Roman" w:hAnsi="Times New Roman"/>
          <w:color w:val="000000"/>
          <w:sz w:val="24"/>
          <w:szCs w:val="24"/>
        </w:rPr>
        <w:t>are to</w:t>
      </w:r>
      <w:r w:rsidRPr="00BD5467">
        <w:rPr>
          <w:rFonts w:ascii="Times New Roman" w:hAnsi="Times New Roman"/>
          <w:color w:val="000000"/>
          <w:sz w:val="24"/>
          <w:szCs w:val="24"/>
        </w:rPr>
        <w:t xml:space="preserve"> set on a periodic basis.</w:t>
      </w:r>
    </w:p>
    <w:p w:rsidR="00451D51" w:rsidRPr="00BD5467" w:rsidRDefault="00451D51" w:rsidP="00451D51">
      <w:pPr>
        <w:snapToGrid w:val="0"/>
        <w:spacing w:after="0" w:line="240" w:lineRule="auto"/>
        <w:rPr>
          <w:rFonts w:ascii="Times New Roman" w:eastAsia="標楷體" w:hAnsi="標楷體"/>
          <w:kern w:val="2"/>
          <w:sz w:val="24"/>
          <w:szCs w:val="24"/>
        </w:rPr>
      </w:pPr>
    </w:p>
    <w:p w:rsidR="00451D51" w:rsidRPr="00D62988" w:rsidRDefault="00451D51" w:rsidP="00451D51">
      <w:pPr>
        <w:snapToGrid w:val="0"/>
        <w:spacing w:after="0" w:line="240" w:lineRule="auto"/>
        <w:rPr>
          <w:rFonts w:ascii="Times New Roman" w:eastAsia="標楷體" w:hAnsi="標楷體"/>
          <w:kern w:val="2"/>
          <w:sz w:val="24"/>
          <w:szCs w:val="24"/>
        </w:rPr>
      </w:pPr>
      <w:r>
        <w:rPr>
          <w:rFonts w:ascii="Times New Roman" w:eastAsia="標楷體" w:hAnsi="標楷體"/>
          <w:kern w:val="2"/>
          <w:sz w:val="24"/>
          <w:szCs w:val="24"/>
        </w:rPr>
        <w:t xml:space="preserve">The </w:t>
      </w:r>
      <w:r w:rsidRPr="007C5D74">
        <w:rPr>
          <w:rFonts w:ascii="Times New Roman" w:eastAsia="標楷體" w:hAnsi="標楷體"/>
          <w:kern w:val="2"/>
          <w:sz w:val="24"/>
          <w:szCs w:val="24"/>
        </w:rPr>
        <w:t xml:space="preserve">UNFCCC is slated to produce a legally binding international agreement, </w:t>
      </w:r>
      <w:r>
        <w:rPr>
          <w:rFonts w:ascii="Times New Roman" w:eastAsia="標楷體" w:hAnsi="標楷體"/>
          <w:kern w:val="2"/>
          <w:sz w:val="24"/>
          <w:szCs w:val="24"/>
        </w:rPr>
        <w:t xml:space="preserve">which will require all signatories to shoulder the responsibility of emission reduction. By passing </w:t>
      </w:r>
      <w:r w:rsidRPr="007C5D74">
        <w:rPr>
          <w:rFonts w:ascii="Times New Roman" w:eastAsia="標楷體" w:hAnsi="標楷體"/>
          <w:kern w:val="2"/>
          <w:sz w:val="24"/>
          <w:szCs w:val="24"/>
        </w:rPr>
        <w:t xml:space="preserve">the </w:t>
      </w:r>
      <w:r w:rsidRPr="007C5D74">
        <w:rPr>
          <w:rFonts w:ascii="Times New Roman" w:hAnsi="Times New Roman"/>
          <w:color w:val="000000"/>
          <w:sz w:val="24"/>
          <w:szCs w:val="24"/>
        </w:rPr>
        <w:t>Greenhouse Gas Emission Reduction and Management Act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color w:val="000000"/>
            <w:sz w:val="24"/>
            <w:szCs w:val="24"/>
          </w:rPr>
          <w:t>Taiwan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-- including the executive and legislative branches of government as well as academia and the private sector --</w:t>
      </w:r>
      <w:r>
        <w:rPr>
          <w:rFonts w:ascii="Times New Roman" w:eastAsia="標楷體" w:hAnsi="標楷體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has demonstrated its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support of </w:t>
      </w: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UNFCCC </w:t>
      </w:r>
      <w:r>
        <w:rPr>
          <w:rFonts w:ascii="Times New Roman" w:hAnsi="Times New Roman"/>
          <w:color w:val="000000"/>
          <w:sz w:val="24"/>
          <w:szCs w:val="24"/>
        </w:rPr>
        <w:t xml:space="preserve">through its commitment to protecting the 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planet. The Greenhouse Gas Emission Reduction and Management Act will help </w:t>
      </w:r>
      <w:smartTag w:uri="urn:schemas-microsoft-com:office:smarttags" w:element="country-region">
        <w:r w:rsidRPr="007C5D74">
          <w:rPr>
            <w:rFonts w:ascii="Times New Roman" w:hAnsi="Times New Roman"/>
            <w:color w:val="000000"/>
            <w:sz w:val="24"/>
            <w:szCs w:val="24"/>
          </w:rPr>
          <w:t>Taiwan</w:t>
        </w:r>
      </w:smartTag>
      <w:r w:rsidRPr="007C5D74">
        <w:rPr>
          <w:rFonts w:ascii="Times New Roman" w:hAnsi="Times New Roman"/>
          <w:color w:val="000000"/>
          <w:sz w:val="24"/>
          <w:szCs w:val="24"/>
        </w:rPr>
        <w:t xml:space="preserve"> take a greater part in the international community and </w:t>
      </w:r>
      <w:r>
        <w:rPr>
          <w:rFonts w:ascii="Times New Roman" w:hAnsi="Times New Roman"/>
          <w:color w:val="000000"/>
          <w:sz w:val="24"/>
          <w:szCs w:val="24"/>
        </w:rPr>
        <w:t>boost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country-region">
        <w:r w:rsidRPr="007C5D74">
          <w:rPr>
            <w:rFonts w:ascii="Times New Roman" w:hAnsi="Times New Roman"/>
            <w:color w:val="000000"/>
            <w:sz w:val="24"/>
            <w:szCs w:val="24"/>
          </w:rPr>
          <w:t>Taiwan</w:t>
        </w:r>
      </w:smartTag>
      <w:r w:rsidRPr="007C5D74">
        <w:rPr>
          <w:rFonts w:ascii="Times New Roman" w:hAnsi="Times New Roman"/>
          <w:color w:val="000000"/>
          <w:sz w:val="24"/>
          <w:szCs w:val="24"/>
        </w:rPr>
        <w:t xml:space="preserve">’s international ranking </w:t>
      </w:r>
      <w:r>
        <w:rPr>
          <w:rFonts w:ascii="Times New Roman" w:hAnsi="Times New Roman"/>
          <w:color w:val="000000"/>
          <w:sz w:val="24"/>
          <w:szCs w:val="24"/>
        </w:rPr>
        <w:t>with regard to</w:t>
      </w:r>
      <w:r w:rsidRPr="007C5D74">
        <w:rPr>
          <w:rFonts w:ascii="Times New Roman" w:hAnsi="Times New Roman"/>
          <w:color w:val="000000"/>
          <w:sz w:val="24"/>
          <w:szCs w:val="24"/>
        </w:rPr>
        <w:t xml:space="preserve"> climate change policies, setting a milestone in terms of </w:t>
      </w:r>
      <w:smartTag w:uri="urn:schemas-microsoft-com:office:smarttags" w:element="country-region">
        <w:r w:rsidRPr="007C5D74">
          <w:rPr>
            <w:rFonts w:ascii="Times New Roman" w:hAnsi="Times New Roman"/>
            <w:color w:val="000000"/>
            <w:sz w:val="24"/>
            <w:szCs w:val="24"/>
          </w:rPr>
          <w:t>Taiwan</w:t>
        </w:r>
      </w:smartTag>
      <w:r w:rsidRPr="007C5D74">
        <w:rPr>
          <w:rFonts w:ascii="Times New Roman" w:hAnsi="Times New Roman"/>
          <w:color w:val="000000"/>
          <w:sz w:val="24"/>
          <w:szCs w:val="24"/>
        </w:rPr>
        <w:t>’s commitment to environmental protection and involvement in international affairs.</w:t>
      </w:r>
    </w:p>
    <w:p w:rsidR="004420E2" w:rsidRPr="00451D51" w:rsidRDefault="004420E2"/>
    <w:sectPr w:rsidR="004420E2" w:rsidRPr="00451D51" w:rsidSect="00B53D0A">
      <w:footerReference w:type="default" r:id="rId4"/>
      <w:pgSz w:w="11907" w:h="16840" w:code="9"/>
      <w:pgMar w:top="1418" w:right="1418" w:bottom="1418" w:left="1418" w:header="720" w:footer="39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92" w:rsidRDefault="00451D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51D51">
      <w:rPr>
        <w:noProof/>
        <w:lang w:val="zh-TW"/>
      </w:rPr>
      <w:t>1</w:t>
    </w:r>
    <w:r>
      <w:fldChar w:fldCharType="end"/>
    </w:r>
  </w:p>
  <w:p w:rsidR="00224D92" w:rsidRDefault="00451D5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D51"/>
    <w:rsid w:val="00001F5E"/>
    <w:rsid w:val="000213A5"/>
    <w:rsid w:val="00021A92"/>
    <w:rsid w:val="00052AB6"/>
    <w:rsid w:val="00056A4D"/>
    <w:rsid w:val="00056B24"/>
    <w:rsid w:val="00063F15"/>
    <w:rsid w:val="00066A3F"/>
    <w:rsid w:val="00067637"/>
    <w:rsid w:val="00072D0D"/>
    <w:rsid w:val="0007572A"/>
    <w:rsid w:val="00075B49"/>
    <w:rsid w:val="0009136B"/>
    <w:rsid w:val="00095E91"/>
    <w:rsid w:val="00096A30"/>
    <w:rsid w:val="00097F2C"/>
    <w:rsid w:val="000B4F68"/>
    <w:rsid w:val="000B5873"/>
    <w:rsid w:val="000D1640"/>
    <w:rsid w:val="000D6ABA"/>
    <w:rsid w:val="000E0051"/>
    <w:rsid w:val="000E5686"/>
    <w:rsid w:val="000E6E12"/>
    <w:rsid w:val="000F1285"/>
    <w:rsid w:val="000F68B0"/>
    <w:rsid w:val="00100E1C"/>
    <w:rsid w:val="001010B2"/>
    <w:rsid w:val="00106300"/>
    <w:rsid w:val="00106762"/>
    <w:rsid w:val="00113902"/>
    <w:rsid w:val="00113E0B"/>
    <w:rsid w:val="0011786B"/>
    <w:rsid w:val="001228CB"/>
    <w:rsid w:val="00130A09"/>
    <w:rsid w:val="00140490"/>
    <w:rsid w:val="0014785B"/>
    <w:rsid w:val="0015354F"/>
    <w:rsid w:val="001537E4"/>
    <w:rsid w:val="00157526"/>
    <w:rsid w:val="00164898"/>
    <w:rsid w:val="00164AD6"/>
    <w:rsid w:val="001711B6"/>
    <w:rsid w:val="00172457"/>
    <w:rsid w:val="001726E0"/>
    <w:rsid w:val="00181C0B"/>
    <w:rsid w:val="0018279C"/>
    <w:rsid w:val="001862B1"/>
    <w:rsid w:val="001912F9"/>
    <w:rsid w:val="00194DB2"/>
    <w:rsid w:val="001A0D3B"/>
    <w:rsid w:val="001A1BAB"/>
    <w:rsid w:val="001B5143"/>
    <w:rsid w:val="001B576F"/>
    <w:rsid w:val="001B7555"/>
    <w:rsid w:val="001C1D22"/>
    <w:rsid w:val="001C6B4D"/>
    <w:rsid w:val="001D2DE5"/>
    <w:rsid w:val="001E641E"/>
    <w:rsid w:val="001E757C"/>
    <w:rsid w:val="001F365C"/>
    <w:rsid w:val="001F3BF5"/>
    <w:rsid w:val="001F7DCD"/>
    <w:rsid w:val="00205708"/>
    <w:rsid w:val="002058BE"/>
    <w:rsid w:val="0021103A"/>
    <w:rsid w:val="00216D47"/>
    <w:rsid w:val="00216DD4"/>
    <w:rsid w:val="00226BC4"/>
    <w:rsid w:val="002365D6"/>
    <w:rsid w:val="002434EC"/>
    <w:rsid w:val="00244E4F"/>
    <w:rsid w:val="00252F92"/>
    <w:rsid w:val="0026187D"/>
    <w:rsid w:val="00267BAE"/>
    <w:rsid w:val="00284A0C"/>
    <w:rsid w:val="00292E5A"/>
    <w:rsid w:val="002956BB"/>
    <w:rsid w:val="0029675D"/>
    <w:rsid w:val="002A05B8"/>
    <w:rsid w:val="002A191D"/>
    <w:rsid w:val="002A2938"/>
    <w:rsid w:val="002A49E2"/>
    <w:rsid w:val="002C0DE5"/>
    <w:rsid w:val="002C4573"/>
    <w:rsid w:val="002C5212"/>
    <w:rsid w:val="002C7254"/>
    <w:rsid w:val="00307835"/>
    <w:rsid w:val="003200A2"/>
    <w:rsid w:val="00325389"/>
    <w:rsid w:val="00347C37"/>
    <w:rsid w:val="00355A02"/>
    <w:rsid w:val="003639FA"/>
    <w:rsid w:val="00363B00"/>
    <w:rsid w:val="003650F3"/>
    <w:rsid w:val="00377B65"/>
    <w:rsid w:val="0039588E"/>
    <w:rsid w:val="00397668"/>
    <w:rsid w:val="003B0B1B"/>
    <w:rsid w:val="003B3997"/>
    <w:rsid w:val="003C13D2"/>
    <w:rsid w:val="003D228D"/>
    <w:rsid w:val="003D4E74"/>
    <w:rsid w:val="003D70B7"/>
    <w:rsid w:val="003E08D6"/>
    <w:rsid w:val="003E305B"/>
    <w:rsid w:val="003E6785"/>
    <w:rsid w:val="003E7210"/>
    <w:rsid w:val="003F7D4B"/>
    <w:rsid w:val="00402815"/>
    <w:rsid w:val="00404426"/>
    <w:rsid w:val="0040749A"/>
    <w:rsid w:val="0042163A"/>
    <w:rsid w:val="00431869"/>
    <w:rsid w:val="004420E2"/>
    <w:rsid w:val="004451B1"/>
    <w:rsid w:val="0045031E"/>
    <w:rsid w:val="0045101E"/>
    <w:rsid w:val="00451355"/>
    <w:rsid w:val="00451D51"/>
    <w:rsid w:val="0046472A"/>
    <w:rsid w:val="00465EB3"/>
    <w:rsid w:val="0046674F"/>
    <w:rsid w:val="00471E73"/>
    <w:rsid w:val="004774BE"/>
    <w:rsid w:val="00483915"/>
    <w:rsid w:val="00483DBC"/>
    <w:rsid w:val="0049199C"/>
    <w:rsid w:val="00491A2C"/>
    <w:rsid w:val="004946A4"/>
    <w:rsid w:val="00495667"/>
    <w:rsid w:val="00497781"/>
    <w:rsid w:val="004A0240"/>
    <w:rsid w:val="004A5869"/>
    <w:rsid w:val="004B21CA"/>
    <w:rsid w:val="004B4457"/>
    <w:rsid w:val="004B5ECB"/>
    <w:rsid w:val="004C1293"/>
    <w:rsid w:val="004C7EDD"/>
    <w:rsid w:val="004E79AA"/>
    <w:rsid w:val="004F1FCC"/>
    <w:rsid w:val="004F2BC0"/>
    <w:rsid w:val="004F2BDD"/>
    <w:rsid w:val="004F5D36"/>
    <w:rsid w:val="00501370"/>
    <w:rsid w:val="00505021"/>
    <w:rsid w:val="00507F90"/>
    <w:rsid w:val="005124BE"/>
    <w:rsid w:val="005210B7"/>
    <w:rsid w:val="00526FD7"/>
    <w:rsid w:val="00535FEC"/>
    <w:rsid w:val="0053750F"/>
    <w:rsid w:val="005425B1"/>
    <w:rsid w:val="00570D66"/>
    <w:rsid w:val="00573695"/>
    <w:rsid w:val="00575254"/>
    <w:rsid w:val="00593515"/>
    <w:rsid w:val="00593DF7"/>
    <w:rsid w:val="005A03A2"/>
    <w:rsid w:val="005A45D3"/>
    <w:rsid w:val="005A5948"/>
    <w:rsid w:val="005B2C02"/>
    <w:rsid w:val="005B3395"/>
    <w:rsid w:val="005C28BE"/>
    <w:rsid w:val="005C2952"/>
    <w:rsid w:val="005D3AEC"/>
    <w:rsid w:val="005E463A"/>
    <w:rsid w:val="005E508B"/>
    <w:rsid w:val="005F7705"/>
    <w:rsid w:val="005F7A57"/>
    <w:rsid w:val="00604CD1"/>
    <w:rsid w:val="00605492"/>
    <w:rsid w:val="00607E38"/>
    <w:rsid w:val="00625DAE"/>
    <w:rsid w:val="00643C32"/>
    <w:rsid w:val="0068149B"/>
    <w:rsid w:val="006826F1"/>
    <w:rsid w:val="00693783"/>
    <w:rsid w:val="006A3820"/>
    <w:rsid w:val="006B10C2"/>
    <w:rsid w:val="006B210A"/>
    <w:rsid w:val="006B7123"/>
    <w:rsid w:val="006C0E86"/>
    <w:rsid w:val="006D24C7"/>
    <w:rsid w:val="006E08C5"/>
    <w:rsid w:val="006E1196"/>
    <w:rsid w:val="006E1D11"/>
    <w:rsid w:val="00705343"/>
    <w:rsid w:val="00717DCC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3238"/>
    <w:rsid w:val="007B67C9"/>
    <w:rsid w:val="007C18C2"/>
    <w:rsid w:val="007D14D4"/>
    <w:rsid w:val="007D631A"/>
    <w:rsid w:val="007F3538"/>
    <w:rsid w:val="007F3CC9"/>
    <w:rsid w:val="008006A0"/>
    <w:rsid w:val="008009B6"/>
    <w:rsid w:val="00810D2B"/>
    <w:rsid w:val="00812B6C"/>
    <w:rsid w:val="00814AC9"/>
    <w:rsid w:val="00814D57"/>
    <w:rsid w:val="00821261"/>
    <w:rsid w:val="00823918"/>
    <w:rsid w:val="00832442"/>
    <w:rsid w:val="00843E35"/>
    <w:rsid w:val="00855C59"/>
    <w:rsid w:val="0086038C"/>
    <w:rsid w:val="0086192A"/>
    <w:rsid w:val="008741D1"/>
    <w:rsid w:val="00874D9A"/>
    <w:rsid w:val="00884EB2"/>
    <w:rsid w:val="00894D12"/>
    <w:rsid w:val="008B2C35"/>
    <w:rsid w:val="008B6DCD"/>
    <w:rsid w:val="008C2519"/>
    <w:rsid w:val="008C29EA"/>
    <w:rsid w:val="008C33DF"/>
    <w:rsid w:val="008C351C"/>
    <w:rsid w:val="008D1157"/>
    <w:rsid w:val="008D311F"/>
    <w:rsid w:val="00900FAD"/>
    <w:rsid w:val="0090528E"/>
    <w:rsid w:val="00912945"/>
    <w:rsid w:val="009148CE"/>
    <w:rsid w:val="0091604E"/>
    <w:rsid w:val="0093153E"/>
    <w:rsid w:val="009370F4"/>
    <w:rsid w:val="0093761D"/>
    <w:rsid w:val="009410BA"/>
    <w:rsid w:val="0095080D"/>
    <w:rsid w:val="00950BE2"/>
    <w:rsid w:val="00956254"/>
    <w:rsid w:val="00962C1C"/>
    <w:rsid w:val="00965C38"/>
    <w:rsid w:val="009758B9"/>
    <w:rsid w:val="00987064"/>
    <w:rsid w:val="00992994"/>
    <w:rsid w:val="0099472F"/>
    <w:rsid w:val="009A65AC"/>
    <w:rsid w:val="009B3F4C"/>
    <w:rsid w:val="009B79E2"/>
    <w:rsid w:val="009E1CEE"/>
    <w:rsid w:val="009E3730"/>
    <w:rsid w:val="00A00C9C"/>
    <w:rsid w:val="00A15F91"/>
    <w:rsid w:val="00A30785"/>
    <w:rsid w:val="00A35562"/>
    <w:rsid w:val="00A36C9C"/>
    <w:rsid w:val="00A37CCA"/>
    <w:rsid w:val="00A44065"/>
    <w:rsid w:val="00A45453"/>
    <w:rsid w:val="00A457D2"/>
    <w:rsid w:val="00A4669F"/>
    <w:rsid w:val="00A50AB9"/>
    <w:rsid w:val="00A63E3D"/>
    <w:rsid w:val="00A64B37"/>
    <w:rsid w:val="00A9018A"/>
    <w:rsid w:val="00A950AF"/>
    <w:rsid w:val="00AA0661"/>
    <w:rsid w:val="00AA215E"/>
    <w:rsid w:val="00AA2829"/>
    <w:rsid w:val="00AA34DC"/>
    <w:rsid w:val="00AC5031"/>
    <w:rsid w:val="00AC5340"/>
    <w:rsid w:val="00AD27C9"/>
    <w:rsid w:val="00AD6B8F"/>
    <w:rsid w:val="00AD7F8F"/>
    <w:rsid w:val="00AE2A0F"/>
    <w:rsid w:val="00AE43BD"/>
    <w:rsid w:val="00AF2705"/>
    <w:rsid w:val="00B02515"/>
    <w:rsid w:val="00B213D6"/>
    <w:rsid w:val="00B21C64"/>
    <w:rsid w:val="00B30572"/>
    <w:rsid w:val="00B44B20"/>
    <w:rsid w:val="00B459B3"/>
    <w:rsid w:val="00B474B7"/>
    <w:rsid w:val="00B525EF"/>
    <w:rsid w:val="00B53A23"/>
    <w:rsid w:val="00B564D6"/>
    <w:rsid w:val="00B60A22"/>
    <w:rsid w:val="00B64F8B"/>
    <w:rsid w:val="00B73F2E"/>
    <w:rsid w:val="00B8345F"/>
    <w:rsid w:val="00B83CCF"/>
    <w:rsid w:val="00B84F09"/>
    <w:rsid w:val="00B944B2"/>
    <w:rsid w:val="00B96EE3"/>
    <w:rsid w:val="00BA3BD0"/>
    <w:rsid w:val="00BA7970"/>
    <w:rsid w:val="00BB4C2A"/>
    <w:rsid w:val="00BD4331"/>
    <w:rsid w:val="00C0237D"/>
    <w:rsid w:val="00C065D7"/>
    <w:rsid w:val="00C1339C"/>
    <w:rsid w:val="00C2172F"/>
    <w:rsid w:val="00C2538B"/>
    <w:rsid w:val="00C31294"/>
    <w:rsid w:val="00C31860"/>
    <w:rsid w:val="00C32268"/>
    <w:rsid w:val="00C346B5"/>
    <w:rsid w:val="00C363E5"/>
    <w:rsid w:val="00C45F97"/>
    <w:rsid w:val="00C61BF0"/>
    <w:rsid w:val="00C93222"/>
    <w:rsid w:val="00C952B9"/>
    <w:rsid w:val="00C96779"/>
    <w:rsid w:val="00CA0F0B"/>
    <w:rsid w:val="00CB11D7"/>
    <w:rsid w:val="00CB2752"/>
    <w:rsid w:val="00CB5489"/>
    <w:rsid w:val="00CB7476"/>
    <w:rsid w:val="00CC561B"/>
    <w:rsid w:val="00CD651C"/>
    <w:rsid w:val="00CE5DE8"/>
    <w:rsid w:val="00CF0F66"/>
    <w:rsid w:val="00CF1E23"/>
    <w:rsid w:val="00CF36CD"/>
    <w:rsid w:val="00CF7FF2"/>
    <w:rsid w:val="00D130D3"/>
    <w:rsid w:val="00D16DEA"/>
    <w:rsid w:val="00D24F66"/>
    <w:rsid w:val="00D26C66"/>
    <w:rsid w:val="00D30774"/>
    <w:rsid w:val="00D41C1C"/>
    <w:rsid w:val="00D46C91"/>
    <w:rsid w:val="00D475AB"/>
    <w:rsid w:val="00D63380"/>
    <w:rsid w:val="00D8565B"/>
    <w:rsid w:val="00DA168A"/>
    <w:rsid w:val="00DB2876"/>
    <w:rsid w:val="00DB74A7"/>
    <w:rsid w:val="00DC07E9"/>
    <w:rsid w:val="00DD5D5D"/>
    <w:rsid w:val="00DE031C"/>
    <w:rsid w:val="00DE048C"/>
    <w:rsid w:val="00DE357C"/>
    <w:rsid w:val="00DE4A5B"/>
    <w:rsid w:val="00DF0194"/>
    <w:rsid w:val="00E260F1"/>
    <w:rsid w:val="00E32D21"/>
    <w:rsid w:val="00E3461A"/>
    <w:rsid w:val="00E368E8"/>
    <w:rsid w:val="00E4271E"/>
    <w:rsid w:val="00E67F06"/>
    <w:rsid w:val="00E87CBD"/>
    <w:rsid w:val="00EA38A0"/>
    <w:rsid w:val="00EA4DF2"/>
    <w:rsid w:val="00EB49A8"/>
    <w:rsid w:val="00EC5EB9"/>
    <w:rsid w:val="00EC704E"/>
    <w:rsid w:val="00ED3959"/>
    <w:rsid w:val="00EE15C5"/>
    <w:rsid w:val="00EE5036"/>
    <w:rsid w:val="00EF080A"/>
    <w:rsid w:val="00EF4A49"/>
    <w:rsid w:val="00EF72E9"/>
    <w:rsid w:val="00F03805"/>
    <w:rsid w:val="00F229CD"/>
    <w:rsid w:val="00F27071"/>
    <w:rsid w:val="00F37E35"/>
    <w:rsid w:val="00F433BA"/>
    <w:rsid w:val="00F54CF6"/>
    <w:rsid w:val="00F64069"/>
    <w:rsid w:val="00F67A96"/>
    <w:rsid w:val="00F77E65"/>
    <w:rsid w:val="00F84C7B"/>
    <w:rsid w:val="00F951B4"/>
    <w:rsid w:val="00FC0F27"/>
    <w:rsid w:val="00FC1B29"/>
    <w:rsid w:val="00FC3D7B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51"/>
    <w:pPr>
      <w:spacing w:after="160" w:line="259" w:lineRule="auto"/>
    </w:pPr>
    <w:rPr>
      <w:rFonts w:ascii="Calibri" w:eastAsia="新細明體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51D51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2015-06-15T08:10:00Z</dcterms:created>
  <dcterms:modified xsi:type="dcterms:W3CDTF">2015-06-15T08:11:00Z</dcterms:modified>
</cp:coreProperties>
</file>