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D6" w:rsidRPr="003C52D8" w:rsidRDefault="00E05BD6" w:rsidP="003242C5">
      <w:pPr>
        <w:snapToGrid w:val="0"/>
        <w:spacing w:line="360" w:lineRule="auto"/>
        <w:jc w:val="center"/>
        <w:rPr>
          <w:rFonts w:eastAsia="標楷體"/>
          <w:b/>
          <w:sz w:val="40"/>
          <w:szCs w:val="40"/>
        </w:rPr>
      </w:pPr>
      <w:r w:rsidRPr="003C52D8">
        <w:rPr>
          <w:rFonts w:eastAsia="標楷體" w:hint="eastAsia"/>
          <w:b/>
          <w:sz w:val="40"/>
          <w:szCs w:val="40"/>
        </w:rPr>
        <w:t>空氣品質模式模擬規範修</w:t>
      </w:r>
      <w:r>
        <w:rPr>
          <w:rFonts w:eastAsia="標楷體" w:hint="eastAsia"/>
          <w:b/>
          <w:sz w:val="40"/>
          <w:szCs w:val="40"/>
        </w:rPr>
        <w:t>正</w:t>
      </w:r>
      <w:r w:rsidRPr="003C52D8">
        <w:rPr>
          <w:rFonts w:eastAsia="標楷體" w:hint="eastAsia"/>
          <w:b/>
          <w:sz w:val="40"/>
          <w:szCs w:val="40"/>
        </w:rPr>
        <w:t>總說明</w:t>
      </w:r>
    </w:p>
    <w:p w:rsidR="00E05BD6" w:rsidRPr="00314239" w:rsidRDefault="00E05BD6" w:rsidP="008D7BE6">
      <w:pPr>
        <w:snapToGrid w:val="0"/>
        <w:spacing w:line="460" w:lineRule="exact"/>
        <w:ind w:firstLineChars="200" w:firstLine="560"/>
        <w:rPr>
          <w:rFonts w:eastAsia="標楷體"/>
          <w:color w:val="000000"/>
          <w:sz w:val="28"/>
          <w:szCs w:val="28"/>
        </w:rPr>
      </w:pPr>
      <w:r w:rsidRPr="00684210">
        <w:rPr>
          <w:rFonts w:eastAsia="標楷體" w:hint="eastAsia"/>
          <w:sz w:val="28"/>
          <w:szCs w:val="28"/>
        </w:rPr>
        <w:t>空氣品質模式模擬規範（以下簡稱本</w:t>
      </w:r>
      <w:r>
        <w:rPr>
          <w:rFonts w:eastAsia="標楷體" w:hint="eastAsia"/>
          <w:sz w:val="28"/>
          <w:szCs w:val="28"/>
        </w:rPr>
        <w:t>規範</w:t>
      </w:r>
      <w:r w:rsidRPr="00684210">
        <w:rPr>
          <w:rFonts w:eastAsia="標楷體" w:hint="eastAsia"/>
          <w:sz w:val="28"/>
          <w:szCs w:val="28"/>
        </w:rPr>
        <w:t>）係依據空氣污染防制法第六條第四項訂定，</w:t>
      </w:r>
      <w:r w:rsidRPr="00B057EA">
        <w:rPr>
          <w:rFonts w:ascii="標楷體" w:eastAsia="標楷體" w:hAnsi="標楷體" w:hint="eastAsia"/>
          <w:sz w:val="28"/>
          <w:szCs w:val="28"/>
        </w:rPr>
        <w:t>自</w:t>
      </w:r>
      <w:r>
        <w:rPr>
          <w:rFonts w:ascii="標楷體" w:eastAsia="標楷體" w:hAnsi="標楷體" w:hint="eastAsia"/>
          <w:sz w:val="28"/>
          <w:szCs w:val="28"/>
        </w:rPr>
        <w:t>九十一年十一月十一</w:t>
      </w:r>
      <w:r w:rsidRPr="00B057EA">
        <w:rPr>
          <w:rFonts w:ascii="標楷體" w:eastAsia="標楷體" w:hAnsi="標楷體" w:hint="eastAsia"/>
          <w:sz w:val="28"/>
          <w:szCs w:val="28"/>
        </w:rPr>
        <w:t>日</w:t>
      </w:r>
      <w:r w:rsidRPr="00B057EA">
        <w:rPr>
          <w:rFonts w:ascii="標楷體" w:eastAsia="標楷體" w:hAnsi="標楷體" w:hint="eastAsia"/>
          <w:bCs/>
          <w:sz w:val="28"/>
          <w:szCs w:val="28"/>
        </w:rPr>
        <w:t>公告後</w:t>
      </w:r>
      <w:r>
        <w:rPr>
          <w:rFonts w:ascii="標楷體" w:eastAsia="標楷體" w:hAnsi="標楷體" w:hint="eastAsia"/>
          <w:sz w:val="28"/>
          <w:szCs w:val="28"/>
        </w:rPr>
        <w:t>，曾於九十二年十二月二十五</w:t>
      </w:r>
      <w:r w:rsidRPr="00B057EA">
        <w:rPr>
          <w:rFonts w:ascii="標楷體" w:eastAsia="標楷體" w:hAnsi="標楷體" w:hint="eastAsia"/>
          <w:sz w:val="28"/>
          <w:szCs w:val="28"/>
        </w:rPr>
        <w:t>日</w:t>
      </w:r>
      <w:r w:rsidRPr="00B057EA">
        <w:rPr>
          <w:rFonts w:ascii="標楷體" w:eastAsia="標楷體" w:hAnsi="標楷體" w:hint="eastAsia"/>
          <w:bCs/>
          <w:sz w:val="28"/>
          <w:szCs w:val="28"/>
        </w:rPr>
        <w:t>修正</w:t>
      </w:r>
      <w:r w:rsidRPr="00684210">
        <w:rPr>
          <w:rFonts w:eastAsia="標楷體" w:hint="eastAsia"/>
          <w:sz w:val="28"/>
          <w:szCs w:val="28"/>
        </w:rPr>
        <w:t>，</w:t>
      </w:r>
      <w:r>
        <w:rPr>
          <w:rFonts w:eastAsia="標楷體" w:hint="eastAsia"/>
          <w:sz w:val="28"/>
          <w:szCs w:val="28"/>
        </w:rPr>
        <w:t>並</w:t>
      </w:r>
      <w:r w:rsidRPr="00684210">
        <w:rPr>
          <w:rFonts w:eastAsia="標楷體" w:hint="eastAsia"/>
          <w:sz w:val="28"/>
          <w:szCs w:val="28"/>
        </w:rPr>
        <w:t>自九十三年一月一日施行。本</w:t>
      </w:r>
      <w:r>
        <w:rPr>
          <w:rFonts w:eastAsia="標楷體" w:hint="eastAsia"/>
          <w:sz w:val="28"/>
          <w:szCs w:val="28"/>
        </w:rPr>
        <w:t>規範</w:t>
      </w:r>
      <w:r w:rsidRPr="00684210">
        <w:rPr>
          <w:rFonts w:eastAsia="標楷體" w:hint="eastAsia"/>
          <w:sz w:val="28"/>
          <w:szCs w:val="28"/>
        </w:rPr>
        <w:t>旨為新增或變更之固定污染源污染物排放量達一定規模者，其污染物排放量須經模式模擬證明不超過污染源所在地之防制區及空氣品質同受影響之鄰近防制區污染物容許增量限值</w:t>
      </w:r>
      <w:r>
        <w:rPr>
          <w:rFonts w:eastAsia="標楷體" w:hint="eastAsia"/>
          <w:sz w:val="28"/>
          <w:szCs w:val="28"/>
        </w:rPr>
        <w:t>；</w:t>
      </w:r>
      <w:r w:rsidRPr="00684210">
        <w:rPr>
          <w:rFonts w:eastAsia="標楷體" w:hint="eastAsia"/>
          <w:sz w:val="28"/>
          <w:szCs w:val="28"/>
        </w:rPr>
        <w:t>為配合</w:t>
      </w:r>
      <w:r>
        <w:rPr>
          <w:rFonts w:eastAsia="標楷體" w:hint="eastAsia"/>
          <w:sz w:val="28"/>
          <w:szCs w:val="28"/>
        </w:rPr>
        <w:t>空氣品質標準</w:t>
      </w:r>
      <w:r w:rsidRPr="00684210">
        <w:rPr>
          <w:rFonts w:eastAsia="標楷體" w:hint="eastAsia"/>
          <w:sz w:val="28"/>
          <w:szCs w:val="28"/>
        </w:rPr>
        <w:t>增列細懸</w:t>
      </w:r>
      <w:r w:rsidRPr="00314239">
        <w:rPr>
          <w:rFonts w:eastAsia="標楷體" w:hint="eastAsia"/>
          <w:color w:val="000000"/>
          <w:sz w:val="28"/>
          <w:szCs w:val="28"/>
        </w:rPr>
        <w:t>浮微粒項目標準，且為強化模式運用的規定，爰擬具修正本規範，其修正要點如次：</w:t>
      </w:r>
    </w:p>
    <w:p w:rsidR="00E05BD6" w:rsidRPr="00684210" w:rsidRDefault="00E05BD6" w:rsidP="008D7BE6">
      <w:pPr>
        <w:pStyle w:val="ListParagraph"/>
        <w:numPr>
          <w:ilvl w:val="0"/>
          <w:numId w:val="1"/>
        </w:numPr>
        <w:spacing w:line="460" w:lineRule="exact"/>
        <w:ind w:leftChars="0"/>
        <w:jc w:val="both"/>
        <w:rPr>
          <w:rFonts w:eastAsia="標楷體"/>
          <w:sz w:val="28"/>
          <w:szCs w:val="28"/>
        </w:rPr>
      </w:pPr>
      <w:r w:rsidRPr="00314239">
        <w:rPr>
          <w:rFonts w:eastAsia="標楷體" w:hint="eastAsia"/>
          <w:color w:val="000000"/>
          <w:sz w:val="28"/>
          <w:szCs w:val="28"/>
        </w:rPr>
        <w:t>強化模式運用的規定：高斯類擴散模式由中央主管機關直接公</w:t>
      </w:r>
      <w:r w:rsidRPr="00684210">
        <w:rPr>
          <w:rFonts w:eastAsia="標楷體" w:hint="eastAsia"/>
          <w:sz w:val="28"/>
          <w:szCs w:val="28"/>
        </w:rPr>
        <w:t>告使用</w:t>
      </w:r>
      <w:r w:rsidRPr="006F219D">
        <w:rPr>
          <w:rFonts w:eastAsia="標楷體" w:hint="eastAsia"/>
          <w:sz w:val="28"/>
          <w:szCs w:val="28"/>
        </w:rPr>
        <w:t>，廢除</w:t>
      </w:r>
      <w:r>
        <w:rPr>
          <w:rFonts w:eastAsia="標楷體" w:hint="eastAsia"/>
          <w:sz w:val="28"/>
          <w:szCs w:val="28"/>
        </w:rPr>
        <w:t>原</w:t>
      </w:r>
      <w:r w:rsidRPr="006F219D">
        <w:rPr>
          <w:rFonts w:eastAsia="標楷體" w:hint="eastAsia"/>
          <w:sz w:val="28"/>
          <w:szCs w:val="28"/>
        </w:rPr>
        <w:t>附錄</w:t>
      </w:r>
      <w:r>
        <w:rPr>
          <w:rFonts w:eastAsia="標楷體" w:hint="eastAsia"/>
          <w:sz w:val="28"/>
          <w:szCs w:val="28"/>
        </w:rPr>
        <w:t>一</w:t>
      </w:r>
      <w:r w:rsidRPr="00684210">
        <w:rPr>
          <w:rFonts w:eastAsia="標楷體" w:hint="eastAsia"/>
          <w:sz w:val="28"/>
          <w:szCs w:val="28"/>
        </w:rPr>
        <w:t>，軌跡類及網格類模式依附錄一及附錄二規定使用並採個案審查，其模擬結果須符合附錄三性能評估規定。（</w:t>
      </w:r>
      <w:r>
        <w:rPr>
          <w:rFonts w:eastAsia="標楷體" w:hint="eastAsia"/>
          <w:sz w:val="28"/>
          <w:szCs w:val="28"/>
        </w:rPr>
        <w:t>修正公告事項</w:t>
      </w:r>
      <w:r w:rsidRPr="00684210">
        <w:rPr>
          <w:rFonts w:eastAsia="標楷體" w:hint="eastAsia"/>
          <w:sz w:val="28"/>
          <w:szCs w:val="28"/>
        </w:rPr>
        <w:t>三）</w:t>
      </w:r>
    </w:p>
    <w:p w:rsidR="00E05BD6" w:rsidRPr="00314239" w:rsidRDefault="00E05BD6" w:rsidP="008D7BE6">
      <w:pPr>
        <w:pStyle w:val="ListParagraph"/>
        <w:numPr>
          <w:ilvl w:val="0"/>
          <w:numId w:val="1"/>
        </w:numPr>
        <w:spacing w:line="460" w:lineRule="exact"/>
        <w:ind w:leftChars="0"/>
        <w:jc w:val="both"/>
        <w:rPr>
          <w:rFonts w:eastAsia="標楷體"/>
          <w:color w:val="000000"/>
          <w:sz w:val="28"/>
          <w:szCs w:val="28"/>
        </w:rPr>
      </w:pPr>
      <w:r w:rsidRPr="00684210">
        <w:rPr>
          <w:rFonts w:eastAsia="標楷體" w:hint="eastAsia"/>
          <w:sz w:val="28"/>
          <w:szCs w:val="28"/>
        </w:rPr>
        <w:t>降低應模擬排放量門檻</w:t>
      </w:r>
      <w:r w:rsidRPr="00053D3F">
        <w:rPr>
          <w:rFonts w:eastAsia="標楷體" w:hint="eastAsia"/>
          <w:color w:val="0070C0"/>
          <w:sz w:val="28"/>
          <w:szCs w:val="28"/>
        </w:rPr>
        <w:t>：</w:t>
      </w:r>
      <w:r w:rsidRPr="00684210">
        <w:rPr>
          <w:rFonts w:eastAsia="標楷體" w:hint="eastAsia"/>
          <w:sz w:val="28"/>
          <w:szCs w:val="28"/>
        </w:rPr>
        <w:t>應進行模式模擬之最低排放量依據「新（增）設或變更固定污染源空氣污染物排放量規模」所訂定，並說明新增</w:t>
      </w:r>
      <w:r>
        <w:rPr>
          <w:rFonts w:eastAsia="標楷體" w:hint="eastAsia"/>
          <w:sz w:val="28"/>
          <w:szCs w:val="28"/>
        </w:rPr>
        <w:t>（</w:t>
      </w:r>
      <w:r w:rsidRPr="00684210">
        <w:rPr>
          <w:rFonts w:eastAsia="標楷體" w:hint="eastAsia"/>
          <w:sz w:val="28"/>
          <w:szCs w:val="28"/>
        </w:rPr>
        <w:t>設</w:t>
      </w:r>
      <w:r>
        <w:rPr>
          <w:rFonts w:eastAsia="標楷體" w:hint="eastAsia"/>
          <w:sz w:val="28"/>
          <w:szCs w:val="28"/>
        </w:rPr>
        <w:t>）</w:t>
      </w:r>
      <w:r w:rsidRPr="00684210">
        <w:rPr>
          <w:rFonts w:eastAsia="標楷體" w:hint="eastAsia"/>
          <w:sz w:val="28"/>
          <w:szCs w:val="28"/>
        </w:rPr>
        <w:t>或變更之固定污染源申請年許可排放量合計達</w:t>
      </w:r>
      <w:r w:rsidRPr="00314239">
        <w:rPr>
          <w:rFonts w:eastAsia="標楷體" w:hint="eastAsia"/>
          <w:color w:val="000000"/>
          <w:sz w:val="28"/>
          <w:szCs w:val="28"/>
        </w:rPr>
        <w:t>二百五十公噸或五百公噸者應選擇之模式。（修正公告事項四至公告事項六）</w:t>
      </w:r>
    </w:p>
    <w:p w:rsidR="00E05BD6" w:rsidRPr="00684210" w:rsidRDefault="00E05BD6" w:rsidP="008D7BE6">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延長模式模擬期程</w:t>
      </w:r>
      <w:r w:rsidRPr="00053D3F">
        <w:rPr>
          <w:rFonts w:eastAsia="標楷體" w:hint="eastAsia"/>
          <w:color w:val="0070C0"/>
          <w:sz w:val="28"/>
          <w:szCs w:val="28"/>
        </w:rPr>
        <w:t>：</w:t>
      </w:r>
      <w:r w:rsidRPr="00684210">
        <w:rPr>
          <w:rFonts w:eastAsia="標楷體" w:hint="eastAsia"/>
          <w:sz w:val="28"/>
          <w:szCs w:val="28"/>
        </w:rPr>
        <w:t>高斯類擴散模式之模擬期程為三年，軌跡類及網格類模式之模擬期程則依排放量選擇中央主管機關所公告之案例月及案例季。（修正</w:t>
      </w:r>
      <w:r>
        <w:rPr>
          <w:rFonts w:eastAsia="標楷體" w:hint="eastAsia"/>
          <w:sz w:val="28"/>
          <w:szCs w:val="28"/>
        </w:rPr>
        <w:t>公告事項七</w:t>
      </w:r>
      <w:r w:rsidRPr="00684210">
        <w:rPr>
          <w:rFonts w:eastAsia="標楷體" w:hint="eastAsia"/>
          <w:sz w:val="28"/>
          <w:szCs w:val="28"/>
        </w:rPr>
        <w:t>）</w:t>
      </w:r>
    </w:p>
    <w:p w:rsidR="00E05BD6" w:rsidRPr="00684210" w:rsidRDefault="00E05BD6" w:rsidP="008D7BE6">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修正模式模擬污染物濃</w:t>
      </w:r>
      <w:r>
        <w:rPr>
          <w:rFonts w:eastAsia="標楷體" w:hint="eastAsia"/>
          <w:sz w:val="28"/>
          <w:szCs w:val="28"/>
        </w:rPr>
        <w:t>度增量計算方式</w:t>
      </w:r>
      <w:r w:rsidRPr="00053D3F">
        <w:rPr>
          <w:rFonts w:eastAsia="標楷體" w:hint="eastAsia"/>
          <w:color w:val="0070C0"/>
          <w:sz w:val="28"/>
          <w:szCs w:val="28"/>
        </w:rPr>
        <w:t>：</w:t>
      </w:r>
      <w:r>
        <w:rPr>
          <w:rFonts w:eastAsia="標楷體" w:hint="eastAsia"/>
          <w:sz w:val="28"/>
          <w:szCs w:val="28"/>
        </w:rPr>
        <w:t>高斯類擴散模式之模擬結果，年平均值增量以各網格</w:t>
      </w:r>
      <w:r w:rsidRPr="00684210">
        <w:rPr>
          <w:rFonts w:eastAsia="標楷體" w:hint="eastAsia"/>
          <w:sz w:val="28"/>
          <w:szCs w:val="28"/>
        </w:rPr>
        <w:t>三年年平均增量平均後之最大值表示，日平均值增量及小時值增量以各網格各年濃度第八高值或排序累積</w:t>
      </w:r>
      <w:r>
        <w:rPr>
          <w:rFonts w:eastAsia="標楷體" w:hint="eastAsia"/>
          <w:sz w:val="28"/>
          <w:szCs w:val="28"/>
        </w:rPr>
        <w:t>百分之九十八</w:t>
      </w:r>
      <w:r w:rsidRPr="00684210">
        <w:rPr>
          <w:rFonts w:eastAsia="標楷體" w:hint="eastAsia"/>
          <w:sz w:val="28"/>
          <w:szCs w:val="28"/>
        </w:rPr>
        <w:t>高值平均後之最大值表示。軌跡類模式及網格類模式之模擬結果，以所有案例之平均值增量代表其年平均值增量，日平均值增量、八小時平均值增量及小時值增量以各網格逐時逐網格濃度對減後排序累積</w:t>
      </w:r>
      <w:r>
        <w:rPr>
          <w:rFonts w:eastAsia="標楷體" w:hint="eastAsia"/>
          <w:sz w:val="28"/>
          <w:szCs w:val="28"/>
        </w:rPr>
        <w:t>百分之九十八</w:t>
      </w:r>
      <w:r w:rsidRPr="00684210">
        <w:rPr>
          <w:rFonts w:eastAsia="標楷體" w:hint="eastAsia"/>
          <w:sz w:val="28"/>
          <w:szCs w:val="28"/>
        </w:rPr>
        <w:t>高值之最大值表示。（修正</w:t>
      </w:r>
      <w:r>
        <w:rPr>
          <w:rFonts w:eastAsia="標楷體" w:hint="eastAsia"/>
          <w:sz w:val="28"/>
          <w:szCs w:val="28"/>
        </w:rPr>
        <w:t>公告事項</w:t>
      </w:r>
      <w:r w:rsidRPr="00684210">
        <w:rPr>
          <w:rFonts w:eastAsia="標楷體" w:hint="eastAsia"/>
          <w:sz w:val="28"/>
          <w:szCs w:val="28"/>
        </w:rPr>
        <w:t>九</w:t>
      </w:r>
      <w:r>
        <w:rPr>
          <w:rFonts w:eastAsia="標楷體" w:hint="eastAsia"/>
          <w:sz w:val="28"/>
          <w:szCs w:val="28"/>
        </w:rPr>
        <w:t>及附錄四</w:t>
      </w:r>
      <w:r w:rsidRPr="00684210">
        <w:rPr>
          <w:rFonts w:eastAsia="標楷體" w:hint="eastAsia"/>
          <w:sz w:val="28"/>
          <w:szCs w:val="28"/>
        </w:rPr>
        <w:t>）</w:t>
      </w:r>
    </w:p>
    <w:p w:rsidR="00E05BD6" w:rsidRPr="00684210" w:rsidRDefault="00E05BD6" w:rsidP="008D7BE6">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因應模式技術提升、電腦設備精進及更多資料可獲取，修正軌跡類模式和網格類模式使用規範。（修正</w:t>
      </w:r>
      <w:r>
        <w:rPr>
          <w:rFonts w:eastAsia="標楷體" w:hint="eastAsia"/>
          <w:sz w:val="28"/>
          <w:szCs w:val="28"/>
        </w:rPr>
        <w:t>公告</w:t>
      </w:r>
      <w:r w:rsidRPr="00684210">
        <w:rPr>
          <w:rFonts w:eastAsia="標楷體" w:hint="eastAsia"/>
          <w:sz w:val="28"/>
          <w:szCs w:val="28"/>
        </w:rPr>
        <w:t>附錄一及二）</w:t>
      </w:r>
    </w:p>
    <w:p w:rsidR="00E05BD6" w:rsidRDefault="00E05BD6" w:rsidP="008D7BE6">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強化模式運用的規定</w:t>
      </w:r>
      <w:r w:rsidRPr="00053D3F">
        <w:rPr>
          <w:rFonts w:eastAsia="標楷體" w:hint="eastAsia"/>
          <w:color w:val="0070C0"/>
          <w:sz w:val="28"/>
          <w:szCs w:val="28"/>
        </w:rPr>
        <w:t>：</w:t>
      </w:r>
      <w:r w:rsidRPr="00684210">
        <w:rPr>
          <w:rFonts w:eastAsia="標楷體" w:hint="eastAsia"/>
          <w:sz w:val="28"/>
          <w:szCs w:val="28"/>
        </w:rPr>
        <w:t>加嚴模式性能評估標準、新增評估污染物種類及新增氣象模式模擬結果性能評估規範。（修正</w:t>
      </w:r>
      <w:r>
        <w:rPr>
          <w:rFonts w:eastAsia="標楷體" w:hint="eastAsia"/>
          <w:sz w:val="28"/>
          <w:szCs w:val="28"/>
        </w:rPr>
        <w:t>公告</w:t>
      </w:r>
      <w:r w:rsidRPr="00684210">
        <w:rPr>
          <w:rFonts w:eastAsia="標楷體" w:hint="eastAsia"/>
          <w:sz w:val="28"/>
          <w:szCs w:val="28"/>
        </w:rPr>
        <w:t>附錄三）</w:t>
      </w:r>
    </w:p>
    <w:p w:rsidR="00E05BD6" w:rsidRPr="00314239" w:rsidRDefault="00E05BD6" w:rsidP="00ED2094">
      <w:pPr>
        <w:pStyle w:val="ListParagraph"/>
        <w:numPr>
          <w:ilvl w:val="0"/>
          <w:numId w:val="1"/>
        </w:numPr>
        <w:spacing w:line="460" w:lineRule="exact"/>
        <w:ind w:leftChars="0"/>
        <w:jc w:val="both"/>
        <w:rPr>
          <w:rFonts w:eastAsia="標楷體"/>
          <w:color w:val="000000"/>
          <w:sz w:val="28"/>
          <w:szCs w:val="28"/>
        </w:rPr>
      </w:pPr>
      <w:r>
        <w:rPr>
          <w:rFonts w:eastAsia="標楷體" w:hint="eastAsia"/>
          <w:color w:val="000000"/>
          <w:sz w:val="28"/>
          <w:szCs w:val="28"/>
        </w:rPr>
        <w:t>說明</w:t>
      </w:r>
      <w:r w:rsidRPr="00ED2094">
        <w:rPr>
          <w:rFonts w:eastAsia="標楷體" w:hint="eastAsia"/>
          <w:color w:val="000000"/>
          <w:sz w:val="28"/>
          <w:szCs w:val="28"/>
        </w:rPr>
        <w:t>軌跡類模式及網格類模式模擬之模擬期程及模擬數量</w:t>
      </w:r>
      <w:r w:rsidRPr="00314239">
        <w:rPr>
          <w:rFonts w:eastAsia="標楷體" w:hint="eastAsia"/>
          <w:color w:val="000000"/>
          <w:sz w:val="28"/>
          <w:szCs w:val="28"/>
        </w:rPr>
        <w:t>（新增附表一）。</w:t>
      </w:r>
    </w:p>
    <w:p w:rsidR="00E05BD6" w:rsidRPr="00314239" w:rsidRDefault="00E05BD6" w:rsidP="00516208">
      <w:pPr>
        <w:pStyle w:val="ListParagraph"/>
        <w:numPr>
          <w:ilvl w:val="0"/>
          <w:numId w:val="1"/>
        </w:numPr>
        <w:spacing w:line="460" w:lineRule="exact"/>
        <w:ind w:leftChars="0"/>
        <w:jc w:val="both"/>
        <w:rPr>
          <w:rFonts w:eastAsia="標楷體"/>
          <w:color w:val="000000"/>
          <w:sz w:val="28"/>
          <w:szCs w:val="28"/>
        </w:rPr>
      </w:pPr>
      <w:r>
        <w:rPr>
          <w:rFonts w:eastAsia="標楷體" w:hint="eastAsia"/>
          <w:color w:val="000000"/>
          <w:sz w:val="28"/>
          <w:szCs w:val="28"/>
        </w:rPr>
        <w:t>配合</w:t>
      </w:r>
      <w:r w:rsidRPr="00516208">
        <w:rPr>
          <w:rFonts w:eastAsia="標楷體" w:hint="eastAsia"/>
          <w:color w:val="000000"/>
          <w:sz w:val="28"/>
          <w:szCs w:val="28"/>
        </w:rPr>
        <w:t>固定污染源設置與操作許可證管理辦法</w:t>
      </w:r>
      <w:r>
        <w:rPr>
          <w:rFonts w:eastAsia="標楷體" w:hint="eastAsia"/>
          <w:color w:val="000000"/>
          <w:sz w:val="28"/>
          <w:szCs w:val="28"/>
        </w:rPr>
        <w:t>之修改</w:t>
      </w:r>
      <w:bookmarkStart w:id="0" w:name="_GoBack"/>
      <w:bookmarkEnd w:id="0"/>
      <w:r>
        <w:rPr>
          <w:rFonts w:eastAsia="標楷體" w:hint="eastAsia"/>
          <w:color w:val="000000"/>
          <w:sz w:val="28"/>
          <w:szCs w:val="28"/>
        </w:rPr>
        <w:t>，爰刪除現行公告事項十</w:t>
      </w:r>
      <w:r w:rsidRPr="00314239">
        <w:rPr>
          <w:rFonts w:eastAsia="標楷體" w:hint="eastAsia"/>
          <w:color w:val="000000"/>
          <w:sz w:val="28"/>
          <w:szCs w:val="28"/>
        </w:rPr>
        <w:t>。</w:t>
      </w:r>
    </w:p>
    <w:p w:rsidR="00E05BD6" w:rsidRPr="00525B4F" w:rsidRDefault="00E05BD6" w:rsidP="008D7BE6">
      <w:pPr>
        <w:pStyle w:val="ListParagraph"/>
        <w:spacing w:line="460" w:lineRule="exact"/>
        <w:ind w:leftChars="0" w:left="720"/>
        <w:jc w:val="both"/>
        <w:rPr>
          <w:rFonts w:eastAsia="標楷體"/>
          <w:sz w:val="28"/>
          <w:szCs w:val="28"/>
        </w:rPr>
      </w:pPr>
    </w:p>
    <w:p w:rsidR="00E05BD6" w:rsidRPr="003C52D8" w:rsidRDefault="00E05BD6" w:rsidP="007D1726">
      <w:pPr>
        <w:spacing w:line="460" w:lineRule="exact"/>
        <w:ind w:left="561" w:hangingChars="200" w:hanging="561"/>
        <w:jc w:val="both"/>
        <w:rPr>
          <w:rFonts w:eastAsia="標楷體"/>
          <w:b/>
          <w:sz w:val="40"/>
          <w:szCs w:val="40"/>
        </w:rPr>
      </w:pPr>
      <w:r w:rsidRPr="003C52D8">
        <w:rPr>
          <w:rFonts w:eastAsia="標楷體"/>
          <w:b/>
          <w:sz w:val="28"/>
          <w:szCs w:val="28"/>
        </w:rPr>
        <w:br w:type="page"/>
      </w:r>
      <w:r w:rsidRPr="003C52D8">
        <w:rPr>
          <w:rFonts w:eastAsia="標楷體" w:hint="eastAsia"/>
          <w:b/>
          <w:sz w:val="40"/>
          <w:szCs w:val="40"/>
        </w:rPr>
        <w:t>空氣品質模式模擬規範</w:t>
      </w:r>
      <w:r w:rsidRPr="000B130F">
        <w:rPr>
          <w:rFonts w:eastAsia="標楷體" w:hint="eastAsia"/>
          <w:b/>
          <w:sz w:val="40"/>
          <w:szCs w:val="40"/>
        </w:rPr>
        <w:t>修正公告對照表</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4"/>
        <w:gridCol w:w="3124"/>
        <w:gridCol w:w="3124"/>
      </w:tblGrid>
      <w:tr w:rsidR="00E05BD6" w:rsidRPr="003C52D8" w:rsidTr="0008258D">
        <w:trPr>
          <w:jc w:val="center"/>
        </w:trPr>
        <w:tc>
          <w:tcPr>
            <w:tcW w:w="3124" w:type="dxa"/>
          </w:tcPr>
          <w:p w:rsidR="00E05BD6" w:rsidRPr="003C52D8" w:rsidRDefault="00E05BD6" w:rsidP="002F36D2">
            <w:pPr>
              <w:jc w:val="center"/>
              <w:rPr>
                <w:rFonts w:eastAsia="標楷體"/>
              </w:rPr>
            </w:pPr>
            <w:r w:rsidRPr="003C52D8">
              <w:rPr>
                <w:rFonts w:eastAsia="標楷體" w:hint="eastAsia"/>
              </w:rPr>
              <w:t>修正公告</w:t>
            </w:r>
          </w:p>
        </w:tc>
        <w:tc>
          <w:tcPr>
            <w:tcW w:w="3124" w:type="dxa"/>
          </w:tcPr>
          <w:p w:rsidR="00E05BD6" w:rsidRPr="003C52D8" w:rsidRDefault="00E05BD6" w:rsidP="00D273B5">
            <w:pPr>
              <w:jc w:val="center"/>
              <w:rPr>
                <w:rFonts w:eastAsia="標楷體"/>
              </w:rPr>
            </w:pPr>
            <w:r w:rsidRPr="003C52D8">
              <w:rPr>
                <w:rFonts w:eastAsia="標楷體" w:hint="eastAsia"/>
              </w:rPr>
              <w:t>現行公告</w:t>
            </w:r>
          </w:p>
        </w:tc>
        <w:tc>
          <w:tcPr>
            <w:tcW w:w="3124" w:type="dxa"/>
          </w:tcPr>
          <w:p w:rsidR="00E05BD6" w:rsidRPr="00F360DD" w:rsidRDefault="00E05BD6" w:rsidP="00D273B5">
            <w:pPr>
              <w:jc w:val="center"/>
              <w:rPr>
                <w:rFonts w:eastAsia="標楷體"/>
              </w:rPr>
            </w:pPr>
            <w:r w:rsidRPr="00F360DD">
              <w:rPr>
                <w:rFonts w:eastAsia="標楷體" w:hint="eastAsia"/>
              </w:rPr>
              <w:t>說</w:t>
            </w:r>
            <w:r w:rsidRPr="00F360DD">
              <w:rPr>
                <w:rFonts w:eastAsia="標楷體"/>
              </w:rPr>
              <w:t xml:space="preserve">  </w:t>
            </w:r>
            <w:r w:rsidRPr="00F360DD">
              <w:rPr>
                <w:rFonts w:eastAsia="標楷體" w:hint="eastAsia"/>
              </w:rPr>
              <w:t>明</w:t>
            </w:r>
          </w:p>
        </w:tc>
      </w:tr>
      <w:tr w:rsidR="00E05BD6" w:rsidRPr="003C52D8" w:rsidTr="0008258D">
        <w:trPr>
          <w:jc w:val="center"/>
        </w:trPr>
        <w:tc>
          <w:tcPr>
            <w:tcW w:w="3124" w:type="dxa"/>
          </w:tcPr>
          <w:p w:rsidR="00E05BD6" w:rsidRPr="003C52D8" w:rsidRDefault="00E05BD6" w:rsidP="009B08FB">
            <w:pPr>
              <w:ind w:left="540" w:hangingChars="225" w:hanging="540"/>
              <w:jc w:val="both"/>
              <w:rPr>
                <w:rFonts w:eastAsia="標楷體"/>
              </w:rPr>
            </w:pPr>
            <w:r w:rsidRPr="003C52D8">
              <w:rPr>
                <w:rFonts w:eastAsia="標楷體" w:hint="eastAsia"/>
              </w:rPr>
              <w:t>主旨：修正「空氣品質模式模擬規範」</w:t>
            </w:r>
            <w:r w:rsidRPr="00215CC9">
              <w:rPr>
                <w:rFonts w:eastAsia="標楷體" w:hint="eastAsia"/>
                <w:color w:val="FF0000"/>
                <w:u w:val="single"/>
              </w:rPr>
              <w:t>，</w:t>
            </w:r>
            <w:r>
              <w:rPr>
                <w:rFonts w:eastAsia="標楷體" w:hint="eastAsia"/>
                <w:color w:val="FF0000"/>
                <w:u w:val="single"/>
              </w:rPr>
              <w:t>並自</w:t>
            </w:r>
            <w:smartTag w:uri="urn:schemas-microsoft-com:office:smarttags" w:element="chsdate">
              <w:smartTagPr>
                <w:attr w:name="IsROCDate" w:val="True"/>
                <w:attr w:name="IsLunarDate" w:val="False"/>
                <w:attr w:name="Day" w:val="1"/>
                <w:attr w:name="Month" w:val="1"/>
                <w:attr w:name="Year" w:val="2016"/>
              </w:smartTagPr>
              <w:r>
                <w:rPr>
                  <w:rFonts w:eastAsia="標楷體" w:hint="eastAsia"/>
                  <w:color w:val="FF0000"/>
                  <w:u w:val="single"/>
                </w:rPr>
                <w:t>中華民國一百零五</w:t>
              </w:r>
              <w:r w:rsidRPr="00215CC9">
                <w:rPr>
                  <w:rFonts w:eastAsia="標楷體" w:hint="eastAsia"/>
                  <w:color w:val="FF0000"/>
                  <w:u w:val="single"/>
                </w:rPr>
                <w:t>年</w:t>
              </w:r>
              <w:r>
                <w:rPr>
                  <w:rFonts w:eastAsia="標楷體" w:hint="eastAsia"/>
                  <w:color w:val="FF0000"/>
                  <w:u w:val="single"/>
                </w:rPr>
                <w:t>一</w:t>
              </w:r>
              <w:r w:rsidRPr="00215CC9">
                <w:rPr>
                  <w:rFonts w:eastAsia="標楷體" w:hint="eastAsia"/>
                  <w:color w:val="FF0000"/>
                  <w:u w:val="single"/>
                </w:rPr>
                <w:t>月</w:t>
              </w:r>
              <w:r>
                <w:rPr>
                  <w:rFonts w:eastAsia="標楷體" w:hint="eastAsia"/>
                  <w:color w:val="FF0000"/>
                  <w:u w:val="single"/>
                </w:rPr>
                <w:t>一</w:t>
              </w:r>
              <w:r w:rsidRPr="00215CC9">
                <w:rPr>
                  <w:rFonts w:eastAsia="標楷體" w:hint="eastAsia"/>
                  <w:color w:val="FF0000"/>
                  <w:u w:val="single"/>
                </w:rPr>
                <w:t>日</w:t>
              </w:r>
            </w:smartTag>
            <w:r>
              <w:rPr>
                <w:rFonts w:eastAsia="標楷體" w:hint="eastAsia"/>
                <w:color w:val="FF0000"/>
                <w:u w:val="single"/>
              </w:rPr>
              <w:t>生效</w:t>
            </w:r>
            <w:r w:rsidRPr="00215CC9">
              <w:rPr>
                <w:rFonts w:eastAsia="標楷體" w:hint="eastAsia"/>
              </w:rPr>
              <w:t>。</w:t>
            </w:r>
          </w:p>
        </w:tc>
        <w:tc>
          <w:tcPr>
            <w:tcW w:w="3124" w:type="dxa"/>
          </w:tcPr>
          <w:p w:rsidR="00E05BD6" w:rsidRPr="003C52D8" w:rsidRDefault="00E05BD6" w:rsidP="00727E8E">
            <w:pPr>
              <w:ind w:left="540" w:hangingChars="225" w:hanging="540"/>
              <w:jc w:val="both"/>
              <w:rPr>
                <w:rFonts w:eastAsia="標楷體"/>
              </w:rPr>
            </w:pPr>
            <w:r w:rsidRPr="003C52D8">
              <w:rPr>
                <w:rFonts w:eastAsia="標楷體" w:hint="eastAsia"/>
              </w:rPr>
              <w:t>主旨：</w:t>
            </w:r>
            <w:r w:rsidRPr="00EA7B21">
              <w:rPr>
                <w:rFonts w:eastAsia="標楷體" w:hint="eastAsia"/>
                <w:u w:val="single"/>
              </w:rPr>
              <w:t>公告</w:t>
            </w:r>
            <w:r w:rsidRPr="003C52D8">
              <w:rPr>
                <w:rFonts w:eastAsia="標楷體" w:hint="eastAsia"/>
              </w:rPr>
              <w:t>修正「空氣品質模式模擬規範」。</w:t>
            </w:r>
          </w:p>
        </w:tc>
        <w:tc>
          <w:tcPr>
            <w:tcW w:w="3124" w:type="dxa"/>
          </w:tcPr>
          <w:p w:rsidR="00E05BD6" w:rsidRPr="00F360DD" w:rsidRDefault="00E05BD6" w:rsidP="00BC3524">
            <w:pPr>
              <w:rPr>
                <w:rFonts w:eastAsia="標楷體"/>
              </w:rPr>
            </w:pPr>
            <w:r>
              <w:rPr>
                <w:rFonts w:eastAsia="標楷體" w:hint="eastAsia"/>
              </w:rPr>
              <w:t>增訂生效日期</w:t>
            </w:r>
            <w:r w:rsidRPr="00F360DD">
              <w:rPr>
                <w:rFonts w:eastAsia="標楷體" w:hint="eastAsia"/>
              </w:rPr>
              <w:t>。</w:t>
            </w:r>
          </w:p>
        </w:tc>
      </w:tr>
      <w:tr w:rsidR="00E05BD6" w:rsidRPr="003C52D8" w:rsidTr="0008258D">
        <w:trPr>
          <w:jc w:val="center"/>
        </w:trPr>
        <w:tc>
          <w:tcPr>
            <w:tcW w:w="3124" w:type="dxa"/>
          </w:tcPr>
          <w:p w:rsidR="00E05BD6" w:rsidRPr="003C52D8" w:rsidRDefault="00E05BD6" w:rsidP="00727E8E">
            <w:pPr>
              <w:ind w:left="660" w:hangingChars="275" w:hanging="660"/>
              <w:jc w:val="both"/>
              <w:rPr>
                <w:rFonts w:eastAsia="標楷體"/>
              </w:rPr>
            </w:pPr>
            <w:r w:rsidRPr="003C52D8">
              <w:rPr>
                <w:rFonts w:eastAsia="標楷體" w:hint="eastAsia"/>
              </w:rPr>
              <w:t>依據：空氣污染防制法第六條第四項。</w:t>
            </w:r>
          </w:p>
        </w:tc>
        <w:tc>
          <w:tcPr>
            <w:tcW w:w="3124" w:type="dxa"/>
          </w:tcPr>
          <w:p w:rsidR="00E05BD6" w:rsidRPr="003C52D8" w:rsidRDefault="00E05BD6" w:rsidP="00727E8E">
            <w:pPr>
              <w:ind w:left="629" w:hangingChars="262" w:hanging="629"/>
              <w:jc w:val="both"/>
              <w:rPr>
                <w:rFonts w:eastAsia="標楷體"/>
              </w:rPr>
            </w:pPr>
            <w:r w:rsidRPr="003C52D8">
              <w:rPr>
                <w:rFonts w:eastAsia="標楷體" w:hint="eastAsia"/>
              </w:rPr>
              <w:t>依據：空氣污染防制法第六條第四項。</w:t>
            </w:r>
          </w:p>
        </w:tc>
        <w:tc>
          <w:tcPr>
            <w:tcW w:w="3124" w:type="dxa"/>
          </w:tcPr>
          <w:p w:rsidR="00E05BD6" w:rsidRPr="00F360DD" w:rsidRDefault="00E05BD6" w:rsidP="00D273B5">
            <w:pPr>
              <w:ind w:rightChars="-21" w:right="-50"/>
              <w:rPr>
                <w:rFonts w:eastAsia="標楷體"/>
              </w:rPr>
            </w:pPr>
            <w:r w:rsidRPr="00F360DD">
              <w:rPr>
                <w:rFonts w:eastAsia="標楷體" w:hint="eastAsia"/>
              </w:rPr>
              <w:t>未修正。</w:t>
            </w:r>
          </w:p>
        </w:tc>
      </w:tr>
      <w:tr w:rsidR="00E05BD6" w:rsidRPr="003C52D8" w:rsidTr="0008258D">
        <w:trPr>
          <w:jc w:val="center"/>
        </w:trPr>
        <w:tc>
          <w:tcPr>
            <w:tcW w:w="3124" w:type="dxa"/>
          </w:tcPr>
          <w:p w:rsidR="00E05BD6" w:rsidRPr="003C52D8" w:rsidRDefault="00E05BD6" w:rsidP="002F36D2">
            <w:pPr>
              <w:ind w:left="420" w:hangingChars="175" w:hanging="420"/>
              <w:rPr>
                <w:rFonts w:eastAsia="標楷體"/>
              </w:rPr>
            </w:pPr>
            <w:r w:rsidRPr="003C52D8">
              <w:rPr>
                <w:rFonts w:eastAsia="標楷體" w:hint="eastAsia"/>
              </w:rPr>
              <w:t>公告事項：</w:t>
            </w:r>
          </w:p>
          <w:p w:rsidR="00E05BD6" w:rsidRPr="003C52D8" w:rsidRDefault="00E05BD6" w:rsidP="00F9238A">
            <w:pPr>
              <w:ind w:left="480" w:hangingChars="200" w:hanging="480"/>
              <w:jc w:val="both"/>
              <w:rPr>
                <w:rFonts w:eastAsia="標楷體"/>
              </w:rPr>
            </w:pPr>
            <w:r w:rsidRPr="003C52D8">
              <w:rPr>
                <w:rFonts w:eastAsia="標楷體" w:hint="eastAsia"/>
              </w:rPr>
              <w:t>一、本規範適用於依空氣污染防制法第六條第二項、第三項、第八條第二項新增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w:t>
            </w:r>
            <w:r w:rsidRPr="003C52D8">
              <w:rPr>
                <w:rFonts w:eastAsia="標楷體" w:hint="eastAsia"/>
                <w:color w:val="000000"/>
              </w:rPr>
              <w:t>變更</w:t>
            </w:r>
            <w:r w:rsidRPr="003C52D8">
              <w:rPr>
                <w:rFonts w:eastAsia="標楷體" w:hint="eastAsia"/>
              </w:rPr>
              <w:t>固定污染源污染物排放量達一定規模者。</w:t>
            </w:r>
          </w:p>
        </w:tc>
        <w:tc>
          <w:tcPr>
            <w:tcW w:w="3124" w:type="dxa"/>
          </w:tcPr>
          <w:p w:rsidR="00E05BD6" w:rsidRPr="003C52D8" w:rsidRDefault="00E05BD6" w:rsidP="00D273B5">
            <w:pPr>
              <w:ind w:left="509" w:hangingChars="212" w:hanging="509"/>
              <w:rPr>
                <w:rFonts w:eastAsia="標楷體"/>
              </w:rPr>
            </w:pPr>
            <w:r w:rsidRPr="003C52D8">
              <w:rPr>
                <w:rFonts w:eastAsia="標楷體" w:hint="eastAsia"/>
              </w:rPr>
              <w:t>公告事項：</w:t>
            </w:r>
          </w:p>
          <w:p w:rsidR="00E05BD6" w:rsidRPr="003C52D8" w:rsidRDefault="00E05BD6" w:rsidP="00727E8E">
            <w:pPr>
              <w:ind w:left="480" w:hangingChars="200" w:hanging="480"/>
              <w:jc w:val="both"/>
              <w:rPr>
                <w:rFonts w:eastAsia="標楷體"/>
              </w:rPr>
            </w:pPr>
            <w:r w:rsidRPr="003C52D8">
              <w:rPr>
                <w:rFonts w:eastAsia="標楷體" w:hint="eastAsia"/>
              </w:rPr>
              <w:t>一、本規範適用於</w:t>
            </w:r>
            <w:r>
              <w:rPr>
                <w:rFonts w:eastAsia="標楷體" w:hint="eastAsia"/>
                <w:u w:val="single"/>
              </w:rPr>
              <w:t>台</w:t>
            </w:r>
            <w:r w:rsidRPr="003C52D8">
              <w:rPr>
                <w:rFonts w:eastAsia="標楷體" w:hint="eastAsia"/>
                <w:u w:val="single"/>
              </w:rPr>
              <w:t>灣本島地區</w:t>
            </w:r>
            <w:r w:rsidRPr="003C52D8">
              <w:rPr>
                <w:rFonts w:eastAsia="標楷體" w:hint="eastAsia"/>
              </w:rPr>
              <w:t>依空氣污染防制法第六條第二項、第三項、第八條第二項新增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或變更固定污染源污染物排放量達一定規模者。</w:t>
            </w:r>
          </w:p>
        </w:tc>
        <w:tc>
          <w:tcPr>
            <w:tcW w:w="3124" w:type="dxa"/>
          </w:tcPr>
          <w:p w:rsidR="00E05BD6" w:rsidRPr="00F360DD" w:rsidRDefault="00E05BD6" w:rsidP="0009374C">
            <w:pPr>
              <w:numPr>
                <w:ilvl w:val="0"/>
                <w:numId w:val="2"/>
              </w:numPr>
              <w:jc w:val="both"/>
              <w:rPr>
                <w:rFonts w:eastAsia="標楷體"/>
              </w:rPr>
            </w:pPr>
            <w:r>
              <w:rPr>
                <w:rFonts w:eastAsia="標楷體" w:hint="eastAsia"/>
              </w:rPr>
              <w:t>連江縣、金門縣及澎湖縣均已納入空氣污染防制區劃分及</w:t>
            </w:r>
            <w:r w:rsidRPr="00F360DD">
              <w:rPr>
                <w:rFonts w:eastAsia="標楷體" w:hint="eastAsia"/>
              </w:rPr>
              <w:t>依空氣污染防制法施行細則第七條規定計算各縣市主要污染物連續三年平均值統計表及容許增量限值表，故宜刪除本島之限制，將離島地區</w:t>
            </w:r>
            <w:r w:rsidRPr="0009374C">
              <w:rPr>
                <w:rFonts w:eastAsia="標楷體" w:hint="eastAsia"/>
              </w:rPr>
              <w:t>（</w:t>
            </w:r>
            <w:r w:rsidRPr="00F360DD">
              <w:rPr>
                <w:rFonts w:eastAsia="標楷體" w:hint="eastAsia"/>
              </w:rPr>
              <w:t>如澎湖、金門、馬祖等</w:t>
            </w:r>
            <w:r w:rsidRPr="0009374C">
              <w:rPr>
                <w:rFonts w:eastAsia="標楷體" w:hint="eastAsia"/>
              </w:rPr>
              <w:t>）</w:t>
            </w:r>
            <w:r w:rsidRPr="00F360DD">
              <w:rPr>
                <w:rFonts w:eastAsia="標楷體" w:hint="eastAsia"/>
              </w:rPr>
              <w:t>納入適用。</w:t>
            </w:r>
          </w:p>
        </w:tc>
      </w:tr>
      <w:tr w:rsidR="00E05BD6" w:rsidRPr="003C52D8" w:rsidTr="0008258D">
        <w:trPr>
          <w:trHeight w:val="5865"/>
          <w:jc w:val="center"/>
        </w:trPr>
        <w:tc>
          <w:tcPr>
            <w:tcW w:w="3124" w:type="dxa"/>
          </w:tcPr>
          <w:p w:rsidR="00E05BD6" w:rsidRPr="003C52D8" w:rsidRDefault="00E05BD6" w:rsidP="00165758">
            <w:pPr>
              <w:ind w:left="509" w:hangingChars="212" w:hanging="509"/>
              <w:rPr>
                <w:rFonts w:eastAsia="標楷體"/>
              </w:rPr>
            </w:pPr>
            <w:r w:rsidRPr="003C52D8">
              <w:rPr>
                <w:rFonts w:eastAsia="標楷體" w:hint="eastAsia"/>
              </w:rPr>
              <w:t>二、本規範所指空氣品質模式類型</w:t>
            </w:r>
            <w:r w:rsidRPr="00BE7577">
              <w:rPr>
                <w:rFonts w:eastAsia="標楷體" w:hint="eastAsia"/>
                <w:color w:val="FF0000"/>
                <w:u w:val="single"/>
              </w:rPr>
              <w:t>，</w:t>
            </w:r>
            <w:r w:rsidRPr="00165758">
              <w:rPr>
                <w:rFonts w:eastAsia="標楷體" w:hint="eastAsia"/>
                <w:color w:val="FF0000"/>
                <w:u w:val="single"/>
              </w:rPr>
              <w:t>包括高斯類擴散模式、軌跡類模式</w:t>
            </w:r>
            <w:r>
              <w:rPr>
                <w:rFonts w:eastAsia="標楷體" w:hint="eastAsia"/>
                <w:color w:val="FF0000"/>
                <w:u w:val="single"/>
              </w:rPr>
              <w:t>及</w:t>
            </w:r>
            <w:r w:rsidRPr="00165758">
              <w:rPr>
                <w:rFonts w:eastAsia="標楷體" w:hint="eastAsia"/>
                <w:color w:val="FF0000"/>
                <w:u w:val="single"/>
              </w:rPr>
              <w:t>網格類模式。</w:t>
            </w:r>
          </w:p>
        </w:tc>
        <w:tc>
          <w:tcPr>
            <w:tcW w:w="3124" w:type="dxa"/>
          </w:tcPr>
          <w:p w:rsidR="00E05BD6" w:rsidRPr="003C52D8" w:rsidRDefault="00E05BD6" w:rsidP="00727E8E">
            <w:pPr>
              <w:ind w:left="480" w:hangingChars="200" w:hanging="480"/>
              <w:jc w:val="both"/>
              <w:rPr>
                <w:rFonts w:eastAsia="標楷體"/>
              </w:rPr>
            </w:pPr>
            <w:r w:rsidRPr="003C52D8">
              <w:rPr>
                <w:rFonts w:eastAsia="標楷體" w:hint="eastAsia"/>
              </w:rPr>
              <w:t>二、本規範所指空氣品質模式類型</w:t>
            </w:r>
            <w:r w:rsidRPr="00165758">
              <w:rPr>
                <w:rFonts w:eastAsia="標楷體" w:hint="eastAsia"/>
                <w:u w:val="single"/>
              </w:rPr>
              <w:t>如下：</w:t>
            </w:r>
          </w:p>
          <w:p w:rsidR="00E05BD6" w:rsidRPr="00F73A23" w:rsidRDefault="00E05BD6" w:rsidP="00754874">
            <w:pPr>
              <w:ind w:leftChars="200" w:left="480"/>
              <w:jc w:val="both"/>
              <w:rPr>
                <w:rFonts w:eastAsia="標楷體"/>
                <w:u w:val="single"/>
              </w:rPr>
            </w:pPr>
            <w:r w:rsidRPr="00F73A23">
              <w:rPr>
                <w:rFonts w:eastAsia="標楷體" w:hint="eastAsia"/>
                <w:u w:val="single"/>
              </w:rPr>
              <w:t>（一）高斯擴散模式</w:t>
            </w:r>
          </w:p>
          <w:p w:rsidR="00E05BD6" w:rsidRPr="00F73A23" w:rsidRDefault="00E05BD6" w:rsidP="00754874">
            <w:pPr>
              <w:ind w:leftChars="200" w:left="480"/>
              <w:jc w:val="both"/>
              <w:rPr>
                <w:rFonts w:eastAsia="標楷體"/>
                <w:u w:val="single"/>
              </w:rPr>
            </w:pPr>
            <w:r w:rsidRPr="00F73A23">
              <w:rPr>
                <w:rFonts w:eastAsia="標楷體" w:hint="eastAsia"/>
                <w:u w:val="single"/>
              </w:rPr>
              <w:t>（二）軌跡模式</w:t>
            </w:r>
          </w:p>
          <w:p w:rsidR="00E05BD6" w:rsidRPr="00F73A23" w:rsidRDefault="00E05BD6" w:rsidP="00754874">
            <w:pPr>
              <w:ind w:leftChars="200" w:left="480"/>
              <w:jc w:val="both"/>
              <w:rPr>
                <w:rFonts w:eastAsia="標楷體"/>
                <w:u w:val="single"/>
              </w:rPr>
            </w:pPr>
            <w:r w:rsidRPr="00F73A23">
              <w:rPr>
                <w:rFonts w:eastAsia="標楷體" w:hint="eastAsia"/>
                <w:u w:val="single"/>
              </w:rPr>
              <w:t>（三）網格模式</w:t>
            </w:r>
          </w:p>
          <w:p w:rsidR="00E05BD6" w:rsidRPr="003C52D8" w:rsidRDefault="00E05BD6" w:rsidP="009303F4">
            <w:pPr>
              <w:ind w:leftChars="200" w:left="480"/>
              <w:jc w:val="both"/>
              <w:rPr>
                <w:rFonts w:eastAsia="標楷體"/>
              </w:rPr>
            </w:pPr>
            <w:r w:rsidRPr="003C52D8">
              <w:rPr>
                <w:rFonts w:eastAsia="標楷體" w:hint="eastAsia"/>
                <w:u w:val="single"/>
              </w:rPr>
              <w:t>前項各類型模式使用規範如附錄一至三，高斯擴散模式、軌跡模式與網格模式模擬結果之性能評估規範如附錄四。各類型模式得檢具相關文件，向中央主管機關申請為認可模式</w:t>
            </w:r>
            <w:r w:rsidRPr="00314192">
              <w:rPr>
                <w:rFonts w:eastAsia="標楷體" w:hint="eastAsia"/>
              </w:rPr>
              <w:t>。</w:t>
            </w:r>
          </w:p>
          <w:p w:rsidR="00E05BD6" w:rsidRPr="003C52D8" w:rsidRDefault="00E05BD6" w:rsidP="009303F4">
            <w:pPr>
              <w:ind w:leftChars="200" w:left="480"/>
              <w:jc w:val="both"/>
              <w:rPr>
                <w:rFonts w:eastAsia="標楷體"/>
                <w:u w:val="single"/>
              </w:rPr>
            </w:pPr>
            <w:r w:rsidRPr="003C52D8">
              <w:rPr>
                <w:rFonts w:eastAsia="標楷體" w:hint="eastAsia"/>
                <w:u w:val="single"/>
              </w:rPr>
              <w:t>前項認可模式及適用條件由中央主管機關另行公告之</w:t>
            </w:r>
            <w:r w:rsidRPr="00305ADD">
              <w:rPr>
                <w:rFonts w:eastAsia="標楷體" w:hint="eastAsia"/>
                <w:u w:val="single"/>
              </w:rPr>
              <w:t>。</w:t>
            </w:r>
          </w:p>
        </w:tc>
        <w:tc>
          <w:tcPr>
            <w:tcW w:w="3124" w:type="dxa"/>
          </w:tcPr>
          <w:p w:rsidR="00E05BD6" w:rsidRPr="00F360DD" w:rsidRDefault="00E05BD6" w:rsidP="0068288F">
            <w:pPr>
              <w:numPr>
                <w:ilvl w:val="0"/>
                <w:numId w:val="3"/>
              </w:numPr>
              <w:adjustRightInd w:val="0"/>
              <w:rPr>
                <w:rFonts w:eastAsia="標楷體"/>
              </w:rPr>
            </w:pPr>
            <w:r w:rsidRPr="00F360DD">
              <w:rPr>
                <w:rFonts w:eastAsia="標楷體" w:hint="eastAsia"/>
              </w:rPr>
              <w:t>可用於空品模式類型分類的考量</w:t>
            </w:r>
            <w:r>
              <w:rPr>
                <w:rFonts w:eastAsia="標楷體" w:hint="eastAsia"/>
              </w:rPr>
              <w:t>因素眾多且甚難界定，</w:t>
            </w:r>
            <w:r w:rsidRPr="00F360DD">
              <w:rPr>
                <w:rFonts w:eastAsia="標楷體" w:hint="eastAsia"/>
              </w:rPr>
              <w:t>參酌國內常用模式種類且避免模式認定方式產生爭議，故更名高斯擴散模式為高斯類擴散模式、軌跡模式為軌跡類模式及網格模式為網格類模式。</w:t>
            </w:r>
          </w:p>
          <w:p w:rsidR="00E05BD6" w:rsidRPr="00F360DD" w:rsidRDefault="00E05BD6" w:rsidP="0068288F">
            <w:pPr>
              <w:numPr>
                <w:ilvl w:val="0"/>
                <w:numId w:val="3"/>
              </w:numPr>
              <w:adjustRightInd w:val="0"/>
              <w:rPr>
                <w:rFonts w:eastAsia="標楷體"/>
              </w:rPr>
            </w:pPr>
            <w:r w:rsidRPr="00F360DD">
              <w:rPr>
                <w:rFonts w:eastAsia="標楷體" w:hint="eastAsia"/>
              </w:rPr>
              <w:t>其餘原法條內容與第三條合併。</w:t>
            </w:r>
          </w:p>
          <w:p w:rsidR="00E05BD6" w:rsidRPr="00F360DD" w:rsidRDefault="00E05BD6" w:rsidP="004A7EEA">
            <w:pPr>
              <w:adjustRightInd w:val="0"/>
              <w:ind w:left="180" w:hangingChars="75" w:hanging="180"/>
              <w:rPr>
                <w:rFonts w:eastAsia="標楷體"/>
              </w:rPr>
            </w:pPr>
          </w:p>
          <w:p w:rsidR="00E05BD6" w:rsidRPr="00F360DD" w:rsidRDefault="00E05BD6" w:rsidP="005C229C">
            <w:pPr>
              <w:ind w:left="180" w:hangingChars="75" w:hanging="180"/>
              <w:jc w:val="both"/>
              <w:rPr>
                <w:rFonts w:eastAsia="標楷體"/>
              </w:rPr>
            </w:pPr>
          </w:p>
          <w:p w:rsidR="00E05BD6" w:rsidRPr="00F360DD" w:rsidRDefault="00E05BD6" w:rsidP="005526AB">
            <w:pPr>
              <w:adjustRightInd w:val="0"/>
              <w:ind w:left="180" w:hangingChars="75" w:hanging="180"/>
              <w:rPr>
                <w:rFonts w:eastAsia="標楷體"/>
              </w:rPr>
            </w:pPr>
          </w:p>
        </w:tc>
      </w:tr>
      <w:tr w:rsidR="00E05BD6" w:rsidRPr="005A24CB" w:rsidTr="00BE7577">
        <w:trPr>
          <w:trHeight w:val="529"/>
          <w:jc w:val="center"/>
        </w:trPr>
        <w:tc>
          <w:tcPr>
            <w:tcW w:w="3124" w:type="dxa"/>
          </w:tcPr>
          <w:p w:rsidR="00E05BD6" w:rsidRPr="00BE7577" w:rsidRDefault="00E05BD6" w:rsidP="0056757C">
            <w:pPr>
              <w:numPr>
                <w:ilvl w:val="0"/>
                <w:numId w:val="3"/>
              </w:numPr>
              <w:jc w:val="both"/>
              <w:rPr>
                <w:rFonts w:eastAsia="標楷體"/>
                <w:color w:val="FF0000"/>
                <w:u w:val="single"/>
              </w:rPr>
            </w:pPr>
            <w:r w:rsidRPr="00BE7577">
              <w:rPr>
                <w:rFonts w:eastAsia="標楷體" w:hint="eastAsia"/>
                <w:color w:val="FF0000"/>
                <w:u w:val="single"/>
              </w:rPr>
              <w:t>本規範所指空氣品質模式使用規範如下：</w:t>
            </w:r>
          </w:p>
          <w:p w:rsidR="00E05BD6" w:rsidRDefault="00E05BD6" w:rsidP="00CA4A9A">
            <w:pPr>
              <w:numPr>
                <w:ilvl w:val="1"/>
                <w:numId w:val="3"/>
              </w:numPr>
              <w:jc w:val="both"/>
              <w:rPr>
                <w:rFonts w:eastAsia="標楷體"/>
                <w:color w:val="FF0000"/>
                <w:u w:val="single"/>
              </w:rPr>
            </w:pPr>
            <w:r w:rsidRPr="003C52D8">
              <w:rPr>
                <w:rFonts w:eastAsia="標楷體" w:hint="eastAsia"/>
                <w:color w:val="FF0000"/>
                <w:u w:val="single"/>
              </w:rPr>
              <w:t>高斯</w:t>
            </w:r>
            <w:r>
              <w:rPr>
                <w:rFonts w:eastAsia="標楷體" w:hint="eastAsia"/>
                <w:color w:val="FF0000"/>
                <w:u w:val="single"/>
              </w:rPr>
              <w:t>類</w:t>
            </w:r>
            <w:r w:rsidRPr="003C52D8">
              <w:rPr>
                <w:rFonts w:eastAsia="標楷體" w:hint="eastAsia"/>
                <w:color w:val="FF0000"/>
                <w:u w:val="single"/>
              </w:rPr>
              <w:t>擴散模式應使用中央主管機關公告之模式，模式之設定應符合中央主管機關公告之技術文件</w:t>
            </w:r>
            <w:r>
              <w:rPr>
                <w:rFonts w:eastAsia="標楷體" w:hint="eastAsia"/>
                <w:color w:val="FF0000"/>
                <w:u w:val="single"/>
              </w:rPr>
              <w:t>、</w:t>
            </w:r>
            <w:r w:rsidRPr="003C52D8">
              <w:rPr>
                <w:rFonts w:eastAsia="標楷體" w:hint="eastAsia"/>
                <w:color w:val="FF0000"/>
                <w:u w:val="single"/>
              </w:rPr>
              <w:t>使用規範及</w:t>
            </w:r>
            <w:r w:rsidRPr="006E3053">
              <w:rPr>
                <w:rFonts w:eastAsia="標楷體" w:hint="eastAsia"/>
                <w:color w:val="FF0000"/>
                <w:u w:val="single"/>
              </w:rPr>
              <w:t>查驗清單</w:t>
            </w:r>
            <w:r w:rsidRPr="003C52D8">
              <w:rPr>
                <w:rFonts w:eastAsia="標楷體" w:hint="eastAsia"/>
                <w:color w:val="FF0000"/>
                <w:u w:val="single"/>
              </w:rPr>
              <w:t>。</w:t>
            </w:r>
          </w:p>
          <w:p w:rsidR="00E05BD6" w:rsidRDefault="00E05BD6" w:rsidP="00CA4A9A">
            <w:pPr>
              <w:numPr>
                <w:ilvl w:val="1"/>
                <w:numId w:val="3"/>
              </w:numPr>
              <w:jc w:val="both"/>
              <w:rPr>
                <w:rFonts w:eastAsia="標楷體"/>
                <w:color w:val="FF0000"/>
                <w:u w:val="single"/>
              </w:rPr>
            </w:pPr>
            <w:r w:rsidRPr="006E3053">
              <w:rPr>
                <w:rFonts w:eastAsia="標楷體" w:hint="eastAsia"/>
                <w:color w:val="FF0000"/>
                <w:u w:val="single"/>
              </w:rPr>
              <w:t>軌跡類模式之設定應符合軌跡類模式使用規範</w:t>
            </w:r>
            <w:r>
              <w:rPr>
                <w:rFonts w:eastAsia="標楷體" w:hint="eastAsia"/>
                <w:color w:val="FF0000"/>
                <w:u w:val="single"/>
              </w:rPr>
              <w:t>，</w:t>
            </w:r>
            <w:r w:rsidRPr="006E3053">
              <w:rPr>
                <w:rFonts w:eastAsia="標楷體" w:hint="eastAsia"/>
                <w:color w:val="FF0000"/>
                <w:u w:val="single"/>
              </w:rPr>
              <w:t>如附錄一。</w:t>
            </w:r>
          </w:p>
          <w:p w:rsidR="00E05BD6" w:rsidRDefault="00E05BD6" w:rsidP="00CA4A9A">
            <w:pPr>
              <w:numPr>
                <w:ilvl w:val="1"/>
                <w:numId w:val="3"/>
              </w:numPr>
              <w:jc w:val="both"/>
              <w:rPr>
                <w:rFonts w:eastAsia="標楷體"/>
                <w:color w:val="FF0000"/>
                <w:u w:val="single"/>
              </w:rPr>
            </w:pPr>
            <w:r w:rsidRPr="006E3053">
              <w:rPr>
                <w:rFonts w:eastAsia="標楷體" w:hint="eastAsia"/>
                <w:color w:val="FF0000"/>
                <w:u w:val="single"/>
              </w:rPr>
              <w:t>網格類模式之設定應符合網格類模式使用規範</w:t>
            </w:r>
            <w:r>
              <w:rPr>
                <w:rFonts w:eastAsia="標楷體" w:hint="eastAsia"/>
                <w:color w:val="FF0000"/>
                <w:u w:val="single"/>
              </w:rPr>
              <w:t>，</w:t>
            </w:r>
            <w:r w:rsidRPr="006E3053">
              <w:rPr>
                <w:rFonts w:eastAsia="標楷體" w:hint="eastAsia"/>
                <w:color w:val="FF0000"/>
                <w:u w:val="single"/>
              </w:rPr>
              <w:t>如附錄二。</w:t>
            </w:r>
          </w:p>
          <w:p w:rsidR="00E05BD6" w:rsidRDefault="00E05BD6" w:rsidP="00CA4A9A">
            <w:pPr>
              <w:numPr>
                <w:ilvl w:val="1"/>
                <w:numId w:val="3"/>
              </w:numPr>
              <w:jc w:val="both"/>
              <w:rPr>
                <w:rFonts w:eastAsia="標楷體"/>
                <w:color w:val="FF0000"/>
                <w:u w:val="single"/>
              </w:rPr>
            </w:pPr>
            <w:r w:rsidRPr="006E3053">
              <w:rPr>
                <w:rFonts w:eastAsia="標楷體" w:hint="eastAsia"/>
                <w:color w:val="FF0000"/>
                <w:u w:val="single"/>
              </w:rPr>
              <w:t>軌跡類模式及網格類模式之</w:t>
            </w:r>
            <w:r>
              <w:rPr>
                <w:rFonts w:eastAsia="標楷體" w:hint="eastAsia"/>
                <w:color w:val="FF0000"/>
                <w:u w:val="single"/>
              </w:rPr>
              <w:t>背景場</w:t>
            </w:r>
            <w:r w:rsidRPr="006E3053">
              <w:rPr>
                <w:rFonts w:eastAsia="標楷體" w:hint="eastAsia"/>
                <w:color w:val="FF0000"/>
                <w:u w:val="single"/>
              </w:rPr>
              <w:t>模擬結果應符合模式模擬結果性能評估規範</w:t>
            </w:r>
            <w:r>
              <w:rPr>
                <w:rFonts w:eastAsia="標楷體" w:hint="eastAsia"/>
                <w:color w:val="FF0000"/>
                <w:u w:val="single"/>
              </w:rPr>
              <w:t>，</w:t>
            </w:r>
            <w:r w:rsidRPr="006E3053">
              <w:rPr>
                <w:rFonts w:eastAsia="標楷體" w:hint="eastAsia"/>
                <w:color w:val="FF0000"/>
                <w:u w:val="single"/>
              </w:rPr>
              <w:t>如附錄三。</w:t>
            </w:r>
          </w:p>
          <w:p w:rsidR="00E05BD6" w:rsidRPr="006E3053" w:rsidRDefault="00E05BD6" w:rsidP="00CA4A9A">
            <w:pPr>
              <w:numPr>
                <w:ilvl w:val="1"/>
                <w:numId w:val="3"/>
              </w:numPr>
              <w:tabs>
                <w:tab w:val="clear" w:pos="1047"/>
              </w:tabs>
              <w:jc w:val="both"/>
              <w:rPr>
                <w:rFonts w:eastAsia="標楷體"/>
                <w:color w:val="FF0000"/>
                <w:u w:val="single"/>
              </w:rPr>
            </w:pPr>
            <w:r w:rsidRPr="00D007F2">
              <w:rPr>
                <w:rFonts w:eastAsia="標楷體" w:hint="eastAsia"/>
                <w:color w:val="FF0000"/>
                <w:u w:val="single"/>
              </w:rPr>
              <w:t>模式模擬濃度增量及統計方式應符合模式模擬及增量計算說明</w:t>
            </w:r>
            <w:r>
              <w:rPr>
                <w:rFonts w:eastAsia="標楷體" w:hint="eastAsia"/>
                <w:color w:val="FF0000"/>
                <w:u w:val="single"/>
              </w:rPr>
              <w:t>，</w:t>
            </w:r>
            <w:r w:rsidRPr="006E3053">
              <w:rPr>
                <w:rFonts w:eastAsia="標楷體" w:hint="eastAsia"/>
                <w:color w:val="FF0000"/>
                <w:u w:val="single"/>
              </w:rPr>
              <w:t>如</w:t>
            </w:r>
            <w:r w:rsidRPr="00D007F2">
              <w:rPr>
                <w:rFonts w:eastAsia="標楷體" w:hint="eastAsia"/>
                <w:color w:val="FF0000"/>
                <w:u w:val="single"/>
              </w:rPr>
              <w:t>附錄四。</w:t>
            </w:r>
          </w:p>
        </w:tc>
        <w:tc>
          <w:tcPr>
            <w:tcW w:w="3124" w:type="dxa"/>
          </w:tcPr>
          <w:p w:rsidR="00E05BD6" w:rsidRPr="003C52D8" w:rsidRDefault="00E05BD6" w:rsidP="008F4865">
            <w:pPr>
              <w:ind w:left="480" w:hangingChars="200" w:hanging="480"/>
              <w:jc w:val="both"/>
              <w:rPr>
                <w:rFonts w:eastAsia="標楷體"/>
              </w:rPr>
            </w:pPr>
            <w:bookmarkStart w:id="1" w:name="OLE_LINK1"/>
            <w:r w:rsidRPr="003C52D8">
              <w:rPr>
                <w:rFonts w:eastAsia="標楷體" w:hint="eastAsia"/>
              </w:rPr>
              <w:t>三、</w:t>
            </w:r>
            <w:r w:rsidRPr="003C52D8">
              <w:rPr>
                <w:rFonts w:eastAsia="標楷體" w:hint="eastAsia"/>
                <w:u w:val="single"/>
              </w:rPr>
              <w:t>空氣品質之模擬得使用認可模式，並依認可之適用條件進行模擬。使用非認可模式或任一非中央主管機關提供之資料或設定者，其模擬結果應符合附錄一至附錄四之規定</w:t>
            </w:r>
            <w:r w:rsidRPr="00305ADD">
              <w:rPr>
                <w:rFonts w:eastAsia="標楷體" w:hint="eastAsia"/>
                <w:u w:val="single"/>
              </w:rPr>
              <w:t>。</w:t>
            </w:r>
          </w:p>
          <w:bookmarkEnd w:id="1"/>
          <w:p w:rsidR="00E05BD6" w:rsidRPr="003C52D8" w:rsidRDefault="00E05BD6" w:rsidP="00754874">
            <w:pPr>
              <w:ind w:leftChars="200" w:left="480"/>
              <w:jc w:val="both"/>
              <w:rPr>
                <w:rFonts w:eastAsia="標楷體"/>
                <w:u w:val="single"/>
              </w:rPr>
            </w:pPr>
            <w:r w:rsidRPr="003C52D8">
              <w:rPr>
                <w:rFonts w:eastAsia="標楷體" w:hint="eastAsia"/>
                <w:u w:val="single"/>
              </w:rPr>
              <w:t>九十五年一月一日前於模擬區域尚未有適用之認可模式公告前，得使用環境影響評估法規定所認可之適用模式或於空氣品質模式支援中心網站建議之模式，不受前項之限制</w:t>
            </w:r>
            <w:r w:rsidRPr="00314192">
              <w:rPr>
                <w:rFonts w:eastAsia="標楷體" w:hint="eastAsia"/>
              </w:rPr>
              <w:t>。</w:t>
            </w:r>
          </w:p>
        </w:tc>
        <w:tc>
          <w:tcPr>
            <w:tcW w:w="3124" w:type="dxa"/>
          </w:tcPr>
          <w:p w:rsidR="00E05BD6" w:rsidRPr="00F360DD" w:rsidRDefault="00E05BD6" w:rsidP="006B44C1">
            <w:pPr>
              <w:numPr>
                <w:ilvl w:val="0"/>
                <w:numId w:val="4"/>
              </w:numPr>
              <w:jc w:val="both"/>
              <w:rPr>
                <w:rFonts w:eastAsia="標楷體"/>
              </w:rPr>
            </w:pPr>
            <w:r w:rsidRPr="00F360DD">
              <w:rPr>
                <w:rFonts w:eastAsia="標楷體" w:hint="eastAsia"/>
              </w:rPr>
              <w:t>根據</w:t>
            </w:r>
            <w:r>
              <w:rPr>
                <w:rFonts w:eastAsia="標楷體" w:hint="eastAsia"/>
              </w:rPr>
              <w:t>行政院環境保護</w:t>
            </w:r>
            <w:r w:rsidRPr="00F360DD">
              <w:rPr>
                <w:rFonts w:eastAsia="標楷體" w:hint="eastAsia"/>
              </w:rPr>
              <w:t>署</w:t>
            </w:r>
            <w:r w:rsidRPr="0009374C">
              <w:rPr>
                <w:rFonts w:eastAsia="標楷體" w:hint="eastAsia"/>
              </w:rPr>
              <w:t>（</w:t>
            </w:r>
            <w:r>
              <w:rPr>
                <w:rFonts w:eastAsia="標楷體" w:hint="eastAsia"/>
              </w:rPr>
              <w:t>以下簡稱本署</w:t>
            </w:r>
            <w:r w:rsidRPr="0009374C">
              <w:rPr>
                <w:rFonts w:eastAsia="標楷體" w:hint="eastAsia"/>
              </w:rPr>
              <w:t>）</w:t>
            </w:r>
            <w:r w:rsidRPr="00F360DD">
              <w:rPr>
                <w:rFonts w:eastAsia="標楷體" w:hint="eastAsia"/>
              </w:rPr>
              <w:t>研究計畫指出，認可模式制度施行至今僅完成</w:t>
            </w:r>
            <w:r>
              <w:rPr>
                <w:rFonts w:eastAsia="標楷體" w:hint="eastAsia"/>
              </w:rPr>
              <w:t>數</w:t>
            </w:r>
            <w:r w:rsidRPr="00F360DD">
              <w:rPr>
                <w:rFonts w:eastAsia="標楷體" w:hint="eastAsia"/>
              </w:rPr>
              <w:t>件申請且各界</w:t>
            </w:r>
            <w:r>
              <w:rPr>
                <w:rFonts w:eastAsia="標楷體" w:hint="eastAsia"/>
              </w:rPr>
              <w:t>對於制度</w:t>
            </w:r>
            <w:r w:rsidRPr="00F360DD">
              <w:rPr>
                <w:rFonts w:eastAsia="標楷體" w:hint="eastAsia"/>
              </w:rPr>
              <w:t>仍有相當的問題及疑慮，因此提出修正方向，</w:t>
            </w:r>
            <w:r>
              <w:rPr>
                <w:rFonts w:eastAsia="標楷體" w:hint="eastAsia"/>
              </w:rPr>
              <w:t>回歸</w:t>
            </w:r>
            <w:r w:rsidRPr="00F360DD">
              <w:rPr>
                <w:rFonts w:eastAsia="標楷體" w:hint="eastAsia"/>
              </w:rPr>
              <w:t>個案審查制度，不再提供模式認可，高斯類擴散模式由</w:t>
            </w:r>
            <w:r>
              <w:rPr>
                <w:rFonts w:eastAsia="標楷體" w:hint="eastAsia"/>
              </w:rPr>
              <w:t>本署</w:t>
            </w:r>
            <w:r w:rsidRPr="00F360DD">
              <w:rPr>
                <w:rFonts w:eastAsia="標楷體" w:hint="eastAsia"/>
              </w:rPr>
              <w:t>直接公告使用，相關文件亦一併公告。軌跡類及網格類模式採個案審查，模式</w:t>
            </w:r>
            <w:r>
              <w:rPr>
                <w:rFonts w:eastAsia="標楷體" w:hint="eastAsia"/>
              </w:rPr>
              <w:t>使用及</w:t>
            </w:r>
            <w:r w:rsidRPr="00F360DD">
              <w:rPr>
                <w:rFonts w:eastAsia="標楷體" w:hint="eastAsia"/>
              </w:rPr>
              <w:t>模擬結果須符合如附錄一到附錄三之使用規範及性能評估，相關檢核文件一併修改。</w:t>
            </w:r>
          </w:p>
          <w:p w:rsidR="00E05BD6" w:rsidRPr="00F360DD" w:rsidRDefault="00E05BD6" w:rsidP="006B44C1">
            <w:pPr>
              <w:numPr>
                <w:ilvl w:val="0"/>
                <w:numId w:val="4"/>
              </w:numPr>
              <w:jc w:val="both"/>
              <w:rPr>
                <w:rFonts w:eastAsia="標楷體"/>
              </w:rPr>
            </w:pPr>
            <w:r w:rsidRPr="00F360DD">
              <w:rPr>
                <w:rFonts w:eastAsia="標楷體" w:hint="eastAsia"/>
              </w:rPr>
              <w:t>軌跡類及網格類模式</w:t>
            </w:r>
            <w:r>
              <w:rPr>
                <w:rFonts w:eastAsia="標楷體" w:hint="eastAsia"/>
              </w:rPr>
              <w:t>應</w:t>
            </w:r>
            <w:r w:rsidRPr="00F360DD">
              <w:rPr>
                <w:rFonts w:eastAsia="標楷體" w:hint="eastAsia"/>
              </w:rPr>
              <w:t>依附錄一至附錄二之規定使用，但使用者如有未能參照部分，應補充相關說明文件，</w:t>
            </w:r>
            <w:r>
              <w:rPr>
                <w:rFonts w:eastAsia="標楷體" w:hint="eastAsia"/>
              </w:rPr>
              <w:t>不僅</w:t>
            </w:r>
            <w:r w:rsidRPr="00F360DD">
              <w:rPr>
                <w:rFonts w:eastAsia="標楷體" w:hint="eastAsia"/>
              </w:rPr>
              <w:t>提供使用者說明空間</w:t>
            </w:r>
            <w:r>
              <w:rPr>
                <w:rFonts w:eastAsia="標楷體" w:hint="eastAsia"/>
              </w:rPr>
              <w:t>，亦不致妨礙模式研究發展</w:t>
            </w:r>
            <w:r w:rsidRPr="00F360DD">
              <w:rPr>
                <w:rFonts w:eastAsia="標楷體" w:hint="eastAsia"/>
              </w:rPr>
              <w:t>。</w:t>
            </w:r>
          </w:p>
          <w:p w:rsidR="00E05BD6" w:rsidRPr="00F360DD" w:rsidRDefault="00E05BD6" w:rsidP="00267A9D">
            <w:pPr>
              <w:rPr>
                <w:rFonts w:eastAsia="標楷體"/>
              </w:rPr>
            </w:pPr>
          </w:p>
        </w:tc>
      </w:tr>
      <w:tr w:rsidR="00E05BD6" w:rsidRPr="003C52D8" w:rsidTr="0008258D">
        <w:trPr>
          <w:trHeight w:val="11393"/>
          <w:jc w:val="center"/>
        </w:trPr>
        <w:tc>
          <w:tcPr>
            <w:tcW w:w="3124" w:type="dxa"/>
          </w:tcPr>
          <w:p w:rsidR="00E05BD6" w:rsidRPr="003C52D8" w:rsidRDefault="00E05BD6" w:rsidP="00754874">
            <w:pPr>
              <w:ind w:left="480" w:hangingChars="200" w:hanging="480"/>
              <w:jc w:val="both"/>
              <w:rPr>
                <w:rFonts w:eastAsia="標楷體"/>
                <w:u w:val="single"/>
              </w:rPr>
            </w:pPr>
            <w:r w:rsidRPr="003C52D8">
              <w:rPr>
                <w:rFonts w:eastAsia="標楷體" w:hint="eastAsia"/>
              </w:rPr>
              <w:t>四、新增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或變更之固定污染源有下列情形之一者，應使用</w:t>
            </w:r>
            <w:r>
              <w:rPr>
                <w:rFonts w:eastAsia="標楷體" w:hint="eastAsia"/>
              </w:rPr>
              <w:t>高斯</w:t>
            </w:r>
            <w:r w:rsidRPr="008A7123">
              <w:rPr>
                <w:rFonts w:eastAsia="標楷體" w:hint="eastAsia"/>
                <w:u w:val="single"/>
              </w:rPr>
              <w:t>類</w:t>
            </w:r>
            <w:r>
              <w:rPr>
                <w:rFonts w:eastAsia="標楷體" w:hint="eastAsia"/>
              </w:rPr>
              <w:t>擴散模式</w:t>
            </w:r>
            <w:r w:rsidRPr="003C52D8">
              <w:rPr>
                <w:rFonts w:eastAsia="標楷體" w:hint="eastAsia"/>
              </w:rPr>
              <w:t>模擬其</w:t>
            </w:r>
            <w:r w:rsidRPr="003C52D8">
              <w:rPr>
                <w:rFonts w:eastAsia="標楷體" w:hint="eastAsia"/>
                <w:color w:val="FF0000"/>
                <w:u w:val="single"/>
              </w:rPr>
              <w:t>原生性空氣污染物濃度增量，依「固定污染源逸散性粒狀污染物空氣污染防制設施管理辦法」設置防止逸散設施之原物料堆置場</w:t>
            </w:r>
            <w:r w:rsidRPr="003C52D8">
              <w:rPr>
                <w:rFonts w:eastAsia="標楷體" w:hint="eastAsia"/>
              </w:rPr>
              <w:t>者不在此限</w:t>
            </w:r>
            <w:r w:rsidRPr="006B5DAF">
              <w:rPr>
                <w:rFonts w:eastAsia="標楷體" w:hint="eastAsia"/>
                <w:u w:val="single"/>
              </w:rPr>
              <w:t>；</w:t>
            </w:r>
            <w:r>
              <w:rPr>
                <w:rFonts w:eastAsia="標楷體" w:hint="eastAsia"/>
                <w:color w:val="FF0000"/>
                <w:u w:val="single"/>
              </w:rPr>
              <w:t>本</w:t>
            </w:r>
            <w:r w:rsidRPr="003C52D8">
              <w:rPr>
                <w:rFonts w:eastAsia="標楷體" w:hint="eastAsia"/>
                <w:color w:val="FF0000"/>
                <w:u w:val="single"/>
              </w:rPr>
              <w:t>項之一定規模依據「新（增）設或變更固定污染源空氣污染物排放量規模」</w:t>
            </w:r>
            <w:r>
              <w:rPr>
                <w:rFonts w:eastAsia="標楷體" w:hint="eastAsia"/>
                <w:color w:val="FF0000"/>
                <w:u w:val="single"/>
              </w:rPr>
              <w:t>：</w:t>
            </w:r>
          </w:p>
          <w:p w:rsidR="00E05BD6" w:rsidRPr="003C52D8" w:rsidRDefault="00E05BD6" w:rsidP="00EF755D">
            <w:pPr>
              <w:ind w:leftChars="149" w:left="963" w:hangingChars="252" w:hanging="605"/>
              <w:jc w:val="both"/>
              <w:rPr>
                <w:rFonts w:eastAsia="標楷體"/>
                <w:color w:val="FF0000"/>
                <w:u w:val="single"/>
              </w:rPr>
            </w:pPr>
            <w:r w:rsidRPr="00CA4A9A">
              <w:rPr>
                <w:rFonts w:eastAsia="標楷體" w:hint="eastAsia"/>
                <w:color w:val="FF0000"/>
              </w:rPr>
              <w:t>（一）</w:t>
            </w:r>
            <w:r w:rsidRPr="003C52D8">
              <w:rPr>
                <w:rFonts w:eastAsia="標楷體" w:hint="eastAsia"/>
                <w:color w:val="FF0000"/>
                <w:u w:val="single"/>
              </w:rPr>
              <w:t>粒狀污染物排放量達一定規模者應模擬原生性之總懸浮微粒</w:t>
            </w:r>
            <w:r>
              <w:rPr>
                <w:rFonts w:eastAsia="標楷體" w:hint="eastAsia"/>
                <w:color w:val="FF0000"/>
                <w:u w:val="single"/>
              </w:rPr>
              <w:t>（</w:t>
            </w:r>
            <w:r w:rsidRPr="003C52D8">
              <w:rPr>
                <w:rFonts w:eastAsia="標楷體"/>
                <w:color w:val="FF0000"/>
                <w:u w:val="single"/>
              </w:rPr>
              <w:t>TSP</w:t>
            </w:r>
            <w:r>
              <w:rPr>
                <w:rFonts w:eastAsia="標楷體" w:hint="eastAsia"/>
                <w:color w:val="FF0000"/>
                <w:u w:val="single"/>
              </w:rPr>
              <w:t>）</w:t>
            </w:r>
            <w:r w:rsidRPr="003C52D8">
              <w:rPr>
                <w:rFonts w:eastAsia="標楷體" w:hint="eastAsia"/>
                <w:color w:val="FF0000"/>
                <w:u w:val="single"/>
              </w:rPr>
              <w:t>、懸浮微粒（</w:t>
            </w:r>
            <w:r w:rsidRPr="003C52D8">
              <w:rPr>
                <w:rFonts w:eastAsia="標楷體"/>
                <w:color w:val="FF0000"/>
                <w:u w:val="single"/>
              </w:rPr>
              <w:t>PM</w:t>
            </w:r>
            <w:r w:rsidRPr="003C52D8">
              <w:rPr>
                <w:rFonts w:eastAsia="標楷體"/>
                <w:color w:val="FF0000"/>
                <w:u w:val="single"/>
                <w:vertAlign w:val="subscript"/>
              </w:rPr>
              <w:t>10</w:t>
            </w:r>
            <w:r w:rsidRPr="003C52D8">
              <w:rPr>
                <w:rFonts w:eastAsia="標楷體" w:hint="eastAsia"/>
                <w:color w:val="FF0000"/>
                <w:u w:val="single"/>
              </w:rPr>
              <w:t>）及細懸浮微粒（</w:t>
            </w:r>
            <w:r w:rsidRPr="003C52D8">
              <w:rPr>
                <w:rFonts w:eastAsia="標楷體"/>
                <w:color w:val="FF0000"/>
                <w:u w:val="single"/>
              </w:rPr>
              <w:t>PM</w:t>
            </w:r>
            <w:r w:rsidRPr="003C52D8">
              <w:rPr>
                <w:rFonts w:eastAsia="標楷體"/>
                <w:color w:val="FF0000"/>
                <w:u w:val="single"/>
                <w:vertAlign w:val="subscript"/>
              </w:rPr>
              <w:t>2.5</w:t>
            </w:r>
            <w:r w:rsidRPr="003C52D8">
              <w:rPr>
                <w:rFonts w:eastAsia="標楷體" w:hint="eastAsia"/>
                <w:color w:val="FF0000"/>
                <w:u w:val="single"/>
              </w:rPr>
              <w:t>）之濃度增量。</w:t>
            </w:r>
          </w:p>
          <w:p w:rsidR="00E05BD6" w:rsidRPr="003C52D8" w:rsidRDefault="00E05BD6" w:rsidP="00EF755D">
            <w:pPr>
              <w:ind w:leftChars="149" w:left="963" w:hangingChars="252" w:hanging="605"/>
              <w:jc w:val="both"/>
              <w:rPr>
                <w:rFonts w:eastAsia="標楷體"/>
                <w:color w:val="FF0000"/>
                <w:u w:val="single"/>
              </w:rPr>
            </w:pPr>
            <w:r w:rsidRPr="00CA4A9A">
              <w:rPr>
                <w:rFonts w:eastAsia="標楷體" w:hint="eastAsia"/>
                <w:color w:val="FF0000"/>
              </w:rPr>
              <w:t>（二）</w:t>
            </w:r>
            <w:r w:rsidRPr="003C52D8">
              <w:rPr>
                <w:rFonts w:eastAsia="標楷體" w:hint="eastAsia"/>
                <w:color w:val="FF0000"/>
                <w:u w:val="single"/>
              </w:rPr>
              <w:t>硫氧化物排放量達一定規模者應模擬二氧化硫之濃度增量。</w:t>
            </w:r>
          </w:p>
          <w:p w:rsidR="00E05BD6" w:rsidRPr="00F87D7B" w:rsidRDefault="00E05BD6" w:rsidP="00F87D7B">
            <w:pPr>
              <w:ind w:leftChars="149" w:left="963" w:hangingChars="252" w:hanging="605"/>
              <w:jc w:val="both"/>
              <w:rPr>
                <w:rFonts w:eastAsia="標楷體"/>
                <w:color w:val="FF0000"/>
                <w:u w:val="single"/>
              </w:rPr>
            </w:pPr>
            <w:r w:rsidRPr="003C52D8">
              <w:rPr>
                <w:rFonts w:eastAsia="標楷體" w:hint="eastAsia"/>
                <w:color w:val="FF0000"/>
                <w:u w:val="single"/>
              </w:rPr>
              <w:t>（三）氮氧化物排放量達一定規模者應模擬二氧化氮之濃度增量。</w:t>
            </w:r>
          </w:p>
        </w:tc>
        <w:tc>
          <w:tcPr>
            <w:tcW w:w="3124" w:type="dxa"/>
          </w:tcPr>
          <w:p w:rsidR="00E05BD6" w:rsidRPr="003C52D8" w:rsidRDefault="00E05BD6" w:rsidP="003B46BF">
            <w:pPr>
              <w:ind w:left="480" w:hangingChars="200" w:hanging="480"/>
              <w:jc w:val="both"/>
              <w:rPr>
                <w:rFonts w:eastAsia="標楷體"/>
              </w:rPr>
            </w:pPr>
            <w:r w:rsidRPr="003C52D8">
              <w:rPr>
                <w:rFonts w:eastAsia="標楷體" w:hint="eastAsia"/>
              </w:rPr>
              <w:t>四、新增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或變更之固定污染源有下列情形之一者，應使用高斯擴散模式模擬其</w:t>
            </w:r>
            <w:r w:rsidRPr="008A7123">
              <w:rPr>
                <w:rFonts w:eastAsia="標楷體" w:hint="eastAsia"/>
                <w:u w:val="single"/>
              </w:rPr>
              <w:t>濃度增量</w:t>
            </w:r>
            <w:r w:rsidRPr="003C52D8">
              <w:rPr>
                <w:rFonts w:eastAsia="標楷體" w:hint="eastAsia"/>
              </w:rPr>
              <w:t>，</w:t>
            </w:r>
            <w:r w:rsidRPr="003C52D8">
              <w:rPr>
                <w:rFonts w:eastAsia="標楷體" w:hint="eastAsia"/>
                <w:u w:val="single"/>
              </w:rPr>
              <w:t>涉及粒狀物排放之非開放式或有防止逸散設施之原物料堆置場</w:t>
            </w:r>
            <w:r w:rsidRPr="003C52D8">
              <w:rPr>
                <w:rFonts w:eastAsia="標楷體" w:hint="eastAsia"/>
              </w:rPr>
              <w:t>者不在此限。</w:t>
            </w:r>
          </w:p>
          <w:p w:rsidR="00E05BD6" w:rsidRPr="003C52D8" w:rsidRDefault="00E05BD6" w:rsidP="00EF755D">
            <w:pPr>
              <w:ind w:leftChars="149" w:left="980" w:hangingChars="259" w:hanging="622"/>
              <w:jc w:val="both"/>
              <w:rPr>
                <w:rFonts w:eastAsia="標楷體"/>
              </w:rPr>
            </w:pPr>
            <w:r w:rsidRPr="003C52D8">
              <w:rPr>
                <w:rFonts w:eastAsia="標楷體" w:hint="eastAsia"/>
              </w:rPr>
              <w:t>（一）</w:t>
            </w:r>
            <w:r w:rsidRPr="003C52D8">
              <w:rPr>
                <w:rFonts w:eastAsia="標楷體" w:hint="eastAsia"/>
                <w:u w:val="single"/>
              </w:rPr>
              <w:t>於污染控制後或處理後最大年排放增加量達粒狀物達十五公噸、硫氧化物達六十公噸或氮氧化物達四十公噸以上者，</w:t>
            </w:r>
            <w:r w:rsidRPr="003C52D8">
              <w:rPr>
                <w:rFonts w:eastAsia="標楷體" w:hint="eastAsia"/>
              </w:rPr>
              <w:t>應模擬懸浮微粒、二氧化硫或二氧化氮之濃度增量。</w:t>
            </w:r>
          </w:p>
          <w:p w:rsidR="00E05BD6" w:rsidRPr="003C52D8" w:rsidRDefault="00E05BD6" w:rsidP="00EF755D">
            <w:pPr>
              <w:ind w:leftChars="149" w:left="994" w:hangingChars="265" w:hanging="636"/>
              <w:jc w:val="both"/>
              <w:rPr>
                <w:rFonts w:eastAsia="標楷體"/>
              </w:rPr>
            </w:pPr>
            <w:r w:rsidRPr="003C52D8">
              <w:rPr>
                <w:rFonts w:eastAsia="標楷體" w:hint="eastAsia"/>
              </w:rPr>
              <w:t>（二）</w:t>
            </w:r>
            <w:r w:rsidRPr="003C52D8">
              <w:rPr>
                <w:rFonts w:eastAsia="標楷體" w:hint="eastAsia"/>
                <w:u w:val="single"/>
              </w:rPr>
              <w:t>空氣污染物年排放增加量達許可證記載之年許可排放量百分之二十以上之固定污染源，於污染控制後或處理後最大年排放量粒狀污染物達二百公噸、硫氧化物達二百五十公噸或氮氧化物達二百公噸以上者</w:t>
            </w:r>
            <w:r w:rsidRPr="003C52D8">
              <w:rPr>
                <w:rFonts w:eastAsia="標楷體" w:hint="eastAsia"/>
              </w:rPr>
              <w:t>，應模擬懸浮微粒、二氧化硫或二氧化氮之濃度增量。</w:t>
            </w:r>
          </w:p>
        </w:tc>
        <w:tc>
          <w:tcPr>
            <w:tcW w:w="3124" w:type="dxa"/>
          </w:tcPr>
          <w:p w:rsidR="00E05BD6" w:rsidRPr="00F360DD" w:rsidRDefault="00E05BD6" w:rsidP="00435968">
            <w:pPr>
              <w:numPr>
                <w:ilvl w:val="0"/>
                <w:numId w:val="5"/>
              </w:numPr>
              <w:jc w:val="both"/>
              <w:rPr>
                <w:rFonts w:eastAsia="標楷體"/>
              </w:rPr>
            </w:pPr>
            <w:r w:rsidRPr="00F360DD">
              <w:rPr>
                <w:rFonts w:eastAsia="標楷體" w:hint="eastAsia"/>
              </w:rPr>
              <w:t>或有防止逸散設施之原物料堆置場者不在此限無任何控制效率之限制，形成過度放寬之漏洞，應以現行法令給予限制。</w:t>
            </w:r>
          </w:p>
          <w:p w:rsidR="00E05BD6" w:rsidRPr="00F360DD" w:rsidRDefault="00E05BD6" w:rsidP="00435968">
            <w:pPr>
              <w:numPr>
                <w:ilvl w:val="0"/>
                <w:numId w:val="5"/>
              </w:numPr>
              <w:jc w:val="both"/>
              <w:rPr>
                <w:rFonts w:eastAsia="標楷體"/>
              </w:rPr>
            </w:pPr>
            <w:r w:rsidRPr="00F360DD">
              <w:rPr>
                <w:rFonts w:eastAsia="標楷體" w:hint="eastAsia"/>
              </w:rPr>
              <w:t>為</w:t>
            </w:r>
            <w:r>
              <w:rPr>
                <w:rFonts w:eastAsia="標楷體" w:hint="eastAsia"/>
              </w:rPr>
              <w:t>明確非</w:t>
            </w:r>
            <w:r w:rsidRPr="00F360DD">
              <w:rPr>
                <w:rFonts w:eastAsia="標楷體" w:hint="eastAsia"/>
              </w:rPr>
              <w:t>任一污染物超過排放量門檻值即須模擬所有污染物之濃度增量，故調整文字內容。</w:t>
            </w:r>
          </w:p>
          <w:p w:rsidR="00E05BD6" w:rsidRPr="00F360DD" w:rsidRDefault="00E05BD6" w:rsidP="00435968">
            <w:pPr>
              <w:numPr>
                <w:ilvl w:val="0"/>
                <w:numId w:val="5"/>
              </w:numPr>
              <w:jc w:val="both"/>
              <w:rPr>
                <w:rFonts w:eastAsia="標楷體"/>
              </w:rPr>
            </w:pPr>
            <w:r w:rsidRPr="00F360DD">
              <w:rPr>
                <w:rFonts w:eastAsia="標楷體" w:hint="eastAsia"/>
              </w:rPr>
              <w:t>依空氣</w:t>
            </w:r>
            <w:r>
              <w:rPr>
                <w:rFonts w:eastAsia="標楷體" w:hint="eastAsia"/>
              </w:rPr>
              <w:t>污染防制法第六條，應進行模式模擬之最低排放量（即一定規模）已於</w:t>
            </w:r>
            <w:r w:rsidRPr="00F360DD">
              <w:rPr>
                <w:rFonts w:eastAsia="標楷體" w:hint="eastAsia"/>
              </w:rPr>
              <w:t>新（增）設或變更固定污染源空氣污染物排放量規模</w:t>
            </w:r>
            <w:r>
              <w:rPr>
                <w:rFonts w:eastAsia="標楷體" w:hint="eastAsia"/>
              </w:rPr>
              <w:t>訂定，故模擬門檻依該法分類，同時納入新公告之</w:t>
            </w:r>
            <w:r w:rsidRPr="00F360DD">
              <w:rPr>
                <w:rFonts w:eastAsia="標楷體" w:hint="eastAsia"/>
              </w:rPr>
              <w:t>空氣品質標準中之細懸浮微粒項。</w:t>
            </w:r>
          </w:p>
          <w:p w:rsidR="00E05BD6" w:rsidRPr="00F360DD" w:rsidRDefault="00E05BD6" w:rsidP="00BB03C1">
            <w:pPr>
              <w:ind w:left="180" w:hangingChars="75" w:hanging="180"/>
              <w:jc w:val="both"/>
              <w:rPr>
                <w:rFonts w:eastAsia="標楷體"/>
                <w:strike/>
              </w:rPr>
            </w:pPr>
          </w:p>
        </w:tc>
      </w:tr>
      <w:tr w:rsidR="00E05BD6" w:rsidRPr="003C52D8" w:rsidTr="00805306">
        <w:trPr>
          <w:trHeight w:val="1248"/>
          <w:jc w:val="center"/>
        </w:trPr>
        <w:tc>
          <w:tcPr>
            <w:tcW w:w="3124" w:type="dxa"/>
          </w:tcPr>
          <w:p w:rsidR="00E05BD6" w:rsidRPr="003C52D8" w:rsidRDefault="00E05BD6" w:rsidP="00C66C9E">
            <w:pPr>
              <w:ind w:left="480" w:hangingChars="200" w:hanging="480"/>
              <w:jc w:val="both"/>
              <w:rPr>
                <w:rFonts w:eastAsia="標楷體"/>
              </w:rPr>
            </w:pPr>
            <w:r w:rsidRPr="003C52D8">
              <w:rPr>
                <w:rFonts w:eastAsia="標楷體" w:hint="eastAsia"/>
              </w:rPr>
              <w:t>五、新增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或變更之固定污染源有下列情形之一者，</w:t>
            </w:r>
            <w:r w:rsidRPr="003C52D8">
              <w:rPr>
                <w:rFonts w:eastAsia="標楷體" w:hint="eastAsia"/>
                <w:color w:val="FF0000"/>
                <w:u w:val="single"/>
              </w:rPr>
              <w:t>除依</w:t>
            </w:r>
            <w:r>
              <w:rPr>
                <w:rFonts w:eastAsia="標楷體" w:hint="eastAsia"/>
                <w:color w:val="FF0000"/>
                <w:u w:val="single"/>
              </w:rPr>
              <w:t>公告事項四</w:t>
            </w:r>
            <w:r w:rsidRPr="003C52D8">
              <w:rPr>
                <w:rFonts w:eastAsia="標楷體" w:hint="eastAsia"/>
                <w:color w:val="FF0000"/>
                <w:u w:val="single"/>
              </w:rPr>
              <w:t>進行高斯</w:t>
            </w:r>
            <w:r>
              <w:rPr>
                <w:rFonts w:eastAsia="標楷體" w:hint="eastAsia"/>
                <w:color w:val="FF0000"/>
                <w:u w:val="single"/>
              </w:rPr>
              <w:t>類</w:t>
            </w:r>
            <w:r w:rsidRPr="003C52D8">
              <w:rPr>
                <w:rFonts w:eastAsia="標楷體" w:hint="eastAsia"/>
                <w:color w:val="FF0000"/>
                <w:u w:val="single"/>
              </w:rPr>
              <w:t>模式模擬外</w:t>
            </w:r>
            <w:r w:rsidRPr="003C52D8">
              <w:rPr>
                <w:rFonts w:eastAsia="標楷體" w:hint="eastAsia"/>
              </w:rPr>
              <w:t>，應</w:t>
            </w:r>
            <w:r w:rsidRPr="003C52D8">
              <w:rPr>
                <w:rFonts w:eastAsia="標楷體" w:hint="eastAsia"/>
                <w:color w:val="FF0000"/>
                <w:u w:val="single"/>
              </w:rPr>
              <w:t>再</w:t>
            </w:r>
            <w:r w:rsidRPr="003C52D8">
              <w:rPr>
                <w:rFonts w:eastAsia="標楷體" w:hint="eastAsia"/>
              </w:rPr>
              <w:t>使用</w:t>
            </w:r>
            <w:r>
              <w:rPr>
                <w:rFonts w:eastAsia="標楷體" w:hint="eastAsia"/>
              </w:rPr>
              <w:t>軌跡類模式</w:t>
            </w:r>
            <w:r w:rsidRPr="003C52D8">
              <w:rPr>
                <w:rFonts w:eastAsia="標楷體" w:hint="eastAsia"/>
              </w:rPr>
              <w:t>或</w:t>
            </w:r>
            <w:r>
              <w:rPr>
                <w:rFonts w:eastAsia="標楷體" w:hint="eastAsia"/>
              </w:rPr>
              <w:t>網格類</w:t>
            </w:r>
            <w:r w:rsidRPr="003C52D8">
              <w:rPr>
                <w:rFonts w:eastAsia="標楷體" w:hint="eastAsia"/>
              </w:rPr>
              <w:t>模式進行空氣品質之模擬：</w:t>
            </w:r>
          </w:p>
          <w:p w:rsidR="00E05BD6" w:rsidRPr="003C52D8" w:rsidRDefault="00E05BD6" w:rsidP="00C66C9E">
            <w:pPr>
              <w:ind w:left="720" w:hangingChars="300" w:hanging="720"/>
              <w:jc w:val="both"/>
              <w:rPr>
                <w:rFonts w:eastAsia="標楷體"/>
              </w:rPr>
            </w:pPr>
            <w:r w:rsidRPr="003C52D8">
              <w:rPr>
                <w:rFonts w:eastAsia="標楷體" w:hint="eastAsia"/>
              </w:rPr>
              <w:t>（一）氮氧化物與揮發性有機物申請年許可排放量合計達</w:t>
            </w:r>
            <w:r w:rsidRPr="003C52D8">
              <w:rPr>
                <w:rFonts w:eastAsia="標楷體" w:hint="eastAsia"/>
                <w:color w:val="FF0000"/>
                <w:u w:val="single"/>
              </w:rPr>
              <w:t>二百五十公噸，但未達五百公噸者，</w:t>
            </w:r>
            <w:r w:rsidRPr="003C52D8">
              <w:rPr>
                <w:rFonts w:eastAsia="標楷體" w:hint="eastAsia"/>
              </w:rPr>
              <w:t>應模擬臭氧濃度增量</w:t>
            </w:r>
            <w:r w:rsidRPr="003C52D8">
              <w:rPr>
                <w:rFonts w:eastAsia="標楷體" w:hint="eastAsia"/>
                <w:color w:val="FF0000"/>
                <w:u w:val="single"/>
              </w:rPr>
              <w:t>及二氧化氮濃度增量</w:t>
            </w:r>
            <w:r w:rsidRPr="003C52D8">
              <w:rPr>
                <w:rFonts w:eastAsia="標楷體" w:hint="eastAsia"/>
              </w:rPr>
              <w:t>。</w:t>
            </w:r>
          </w:p>
          <w:p w:rsidR="00E05BD6" w:rsidRPr="003C52D8" w:rsidRDefault="00E05BD6" w:rsidP="00C66C9E">
            <w:pPr>
              <w:ind w:left="720" w:hangingChars="300" w:hanging="720"/>
              <w:jc w:val="both"/>
              <w:rPr>
                <w:rFonts w:eastAsia="標楷體"/>
              </w:rPr>
            </w:pPr>
            <w:r w:rsidRPr="003C52D8">
              <w:rPr>
                <w:rFonts w:eastAsia="標楷體" w:hint="eastAsia"/>
              </w:rPr>
              <w:t>（二）</w:t>
            </w:r>
            <w:r w:rsidRPr="003C52D8">
              <w:rPr>
                <w:rFonts w:eastAsia="標楷體" w:hint="eastAsia"/>
                <w:color w:val="FF0000"/>
                <w:u w:val="single"/>
              </w:rPr>
              <w:t>粒狀污染物</w:t>
            </w:r>
            <w:r w:rsidRPr="003C52D8">
              <w:rPr>
                <w:rFonts w:eastAsia="標楷體" w:hint="eastAsia"/>
              </w:rPr>
              <w:t>、硫氧化物、氮氧化物、</w:t>
            </w:r>
            <w:r w:rsidRPr="003C52D8">
              <w:rPr>
                <w:rFonts w:eastAsia="標楷體" w:hint="eastAsia"/>
                <w:color w:val="FF0000"/>
                <w:u w:val="single"/>
              </w:rPr>
              <w:t>揮發性有機物、與氨</w:t>
            </w:r>
            <w:r w:rsidRPr="003C52D8">
              <w:rPr>
                <w:rFonts w:eastAsia="標楷體" w:hint="eastAsia"/>
              </w:rPr>
              <w:t>之申請年許可排放量合計達</w:t>
            </w:r>
            <w:r w:rsidRPr="003C52D8">
              <w:rPr>
                <w:rFonts w:eastAsia="標楷體" w:hint="eastAsia"/>
                <w:color w:val="FF0000"/>
                <w:u w:val="single"/>
              </w:rPr>
              <w:t>二百五十公噸，但未達五百公噸者</w:t>
            </w:r>
            <w:r w:rsidRPr="003C52D8">
              <w:rPr>
                <w:rFonts w:eastAsia="標楷體" w:hint="eastAsia"/>
              </w:rPr>
              <w:t>，應模擬懸浮微粒</w:t>
            </w:r>
            <w:r w:rsidRPr="0009374C">
              <w:rPr>
                <w:rFonts w:eastAsia="標楷體" w:hint="eastAsia"/>
              </w:rPr>
              <w:t>（</w:t>
            </w:r>
            <w:r w:rsidRPr="003C52D8">
              <w:rPr>
                <w:rFonts w:eastAsia="標楷體"/>
              </w:rPr>
              <w:t>PM</w:t>
            </w:r>
            <w:r w:rsidRPr="003C52D8">
              <w:rPr>
                <w:rFonts w:eastAsia="標楷體"/>
                <w:vertAlign w:val="subscript"/>
              </w:rPr>
              <w:t>10</w:t>
            </w:r>
            <w:r w:rsidRPr="0009374C">
              <w:rPr>
                <w:rFonts w:eastAsia="標楷體" w:hint="eastAsia"/>
              </w:rPr>
              <w:t>）</w:t>
            </w:r>
            <w:r w:rsidRPr="003C52D8">
              <w:rPr>
                <w:rFonts w:eastAsia="標楷體" w:hint="eastAsia"/>
              </w:rPr>
              <w:t>濃度增量</w:t>
            </w:r>
            <w:r w:rsidRPr="003C52D8">
              <w:rPr>
                <w:rFonts w:eastAsia="標楷體" w:hint="eastAsia"/>
                <w:color w:val="FF0000"/>
                <w:u w:val="single"/>
              </w:rPr>
              <w:t>、細懸浮微粒</w:t>
            </w:r>
            <w:r w:rsidRPr="008E0FA7">
              <w:rPr>
                <w:rFonts w:eastAsia="標楷體" w:hint="eastAsia"/>
                <w:color w:val="FF0000"/>
              </w:rPr>
              <w:t>（</w:t>
            </w:r>
            <w:r w:rsidRPr="008E0FA7">
              <w:rPr>
                <w:rFonts w:eastAsia="標楷體"/>
                <w:color w:val="FF0000"/>
                <w:u w:val="single"/>
              </w:rPr>
              <w:t>PM</w:t>
            </w:r>
            <w:r w:rsidRPr="008E0FA7">
              <w:rPr>
                <w:rFonts w:eastAsia="標楷體"/>
                <w:color w:val="FF0000"/>
                <w:u w:val="single"/>
                <w:vertAlign w:val="subscript"/>
              </w:rPr>
              <w:t>2.5</w:t>
            </w:r>
            <w:r w:rsidRPr="008E0FA7">
              <w:rPr>
                <w:rFonts w:eastAsia="標楷體" w:hint="eastAsia"/>
                <w:color w:val="FF0000"/>
              </w:rPr>
              <w:t>）</w:t>
            </w:r>
            <w:r w:rsidRPr="008E0FA7">
              <w:rPr>
                <w:rFonts w:eastAsia="標楷體" w:hint="eastAsia"/>
                <w:color w:val="FF0000"/>
                <w:u w:val="single"/>
              </w:rPr>
              <w:t>濃度增量、二氧化硫濃度</w:t>
            </w:r>
            <w:r w:rsidRPr="003C52D8">
              <w:rPr>
                <w:rFonts w:eastAsia="標楷體" w:hint="eastAsia"/>
                <w:color w:val="FF0000"/>
                <w:u w:val="single"/>
              </w:rPr>
              <w:t>增量及二氧化氮濃度增量。懸浮微粒及細懸浮微粒之濃度增量應為原生性及衍生性的總和。</w:t>
            </w:r>
          </w:p>
          <w:p w:rsidR="00E05BD6" w:rsidRPr="003C52D8" w:rsidRDefault="00E05BD6" w:rsidP="00380DAA">
            <w:pPr>
              <w:ind w:leftChars="200" w:left="480"/>
              <w:jc w:val="both"/>
              <w:rPr>
                <w:rFonts w:eastAsia="標楷體"/>
              </w:rPr>
            </w:pPr>
          </w:p>
          <w:p w:rsidR="00E05BD6" w:rsidRPr="003C52D8" w:rsidRDefault="00E05BD6" w:rsidP="00380DAA">
            <w:pPr>
              <w:ind w:leftChars="200" w:left="480"/>
              <w:jc w:val="both"/>
              <w:rPr>
                <w:rFonts w:eastAsia="標楷體"/>
                <w:color w:val="1F497D"/>
              </w:rPr>
            </w:pPr>
          </w:p>
        </w:tc>
        <w:tc>
          <w:tcPr>
            <w:tcW w:w="3124" w:type="dxa"/>
          </w:tcPr>
          <w:p w:rsidR="00E05BD6" w:rsidRPr="003C52D8" w:rsidRDefault="00E05BD6" w:rsidP="00C66C9E">
            <w:pPr>
              <w:ind w:left="480" w:hangingChars="200" w:hanging="480"/>
              <w:jc w:val="both"/>
              <w:rPr>
                <w:rFonts w:eastAsia="標楷體"/>
              </w:rPr>
            </w:pPr>
            <w:r w:rsidRPr="003C52D8">
              <w:rPr>
                <w:rFonts w:eastAsia="標楷體" w:hint="eastAsia"/>
              </w:rPr>
              <w:t>五、新增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或變更之固定污染源有下列情形之一者，應使用軌跡模式或網格模式進行空氣品質之模擬：</w:t>
            </w:r>
          </w:p>
          <w:p w:rsidR="00E05BD6" w:rsidRPr="003C52D8" w:rsidRDefault="00E05BD6" w:rsidP="00C66C9E">
            <w:pPr>
              <w:ind w:left="720" w:hangingChars="300" w:hanging="720"/>
              <w:jc w:val="both"/>
              <w:rPr>
                <w:rFonts w:eastAsia="標楷體"/>
              </w:rPr>
            </w:pPr>
            <w:r w:rsidRPr="003C52D8">
              <w:rPr>
                <w:rFonts w:eastAsia="標楷體" w:hint="eastAsia"/>
              </w:rPr>
              <w:t>（一）氮氧化物與揮發性有機物申請年許可排放量合計</w:t>
            </w:r>
            <w:r w:rsidRPr="003C52D8">
              <w:rPr>
                <w:rFonts w:eastAsia="標楷體" w:hint="eastAsia"/>
                <w:u w:val="single"/>
              </w:rPr>
              <w:t>達五百公噸，但未達一千公噸者</w:t>
            </w:r>
            <w:r w:rsidRPr="003C52D8">
              <w:rPr>
                <w:rFonts w:eastAsia="標楷體" w:hint="eastAsia"/>
              </w:rPr>
              <w:t>，應模擬臭氧濃度增量。</w:t>
            </w:r>
            <w:r w:rsidRPr="003C52D8">
              <w:rPr>
                <w:rFonts w:eastAsia="標楷體" w:hint="eastAsia"/>
                <w:u w:val="single"/>
              </w:rPr>
              <w:t>僅揮發性有機物乙項排放量符合公告之一定規模者，不在此限</w:t>
            </w:r>
            <w:r w:rsidRPr="00305ADD">
              <w:rPr>
                <w:rFonts w:eastAsia="標楷體" w:hint="eastAsia"/>
                <w:u w:val="single"/>
              </w:rPr>
              <w:t>。</w:t>
            </w:r>
          </w:p>
          <w:p w:rsidR="00E05BD6" w:rsidRPr="003C52D8" w:rsidRDefault="00E05BD6" w:rsidP="00C66C9E">
            <w:pPr>
              <w:ind w:left="720" w:hangingChars="300" w:hanging="720"/>
              <w:jc w:val="both"/>
              <w:rPr>
                <w:rFonts w:eastAsia="標楷體"/>
              </w:rPr>
            </w:pPr>
            <w:r w:rsidRPr="003C52D8">
              <w:rPr>
                <w:rFonts w:eastAsia="標楷體" w:hint="eastAsia"/>
              </w:rPr>
              <w:t>（二）</w:t>
            </w:r>
            <w:r w:rsidRPr="003C52D8">
              <w:rPr>
                <w:rFonts w:eastAsia="標楷體" w:hint="eastAsia"/>
                <w:u w:val="single"/>
              </w:rPr>
              <w:t>硫氧化物與氮氧化物申請年許可排放量合計達五百公噸，但未達一千公噸者，</w:t>
            </w:r>
            <w:r w:rsidRPr="003C52D8">
              <w:rPr>
                <w:rFonts w:eastAsia="標楷體" w:hint="eastAsia"/>
              </w:rPr>
              <w:t>應模擬衍生性懸浮微粒濃度增量，並與原生性懸浮微粒合計為懸浮微粒之增量。</w:t>
            </w:r>
          </w:p>
        </w:tc>
        <w:tc>
          <w:tcPr>
            <w:tcW w:w="3124" w:type="dxa"/>
          </w:tcPr>
          <w:p w:rsidR="00E05BD6" w:rsidRPr="00F360DD" w:rsidRDefault="00E05BD6" w:rsidP="00805306">
            <w:pPr>
              <w:numPr>
                <w:ilvl w:val="0"/>
                <w:numId w:val="7"/>
              </w:numPr>
              <w:jc w:val="both"/>
              <w:rPr>
                <w:rFonts w:eastAsia="標楷體"/>
              </w:rPr>
            </w:pPr>
            <w:r w:rsidRPr="00F360DD">
              <w:rPr>
                <w:rFonts w:eastAsia="標楷體" w:hint="eastAsia"/>
              </w:rPr>
              <w:t>使用軌跡或網格類模式模擬原生污染物濃度增量主要是檢視大型污染源在遠距的複雜山區地形是否有高值產生，並非取代高斯類擴散模式之近場模擬結果，故不能免除</w:t>
            </w:r>
            <w:r w:rsidRPr="00E813A8">
              <w:rPr>
                <w:rFonts w:eastAsia="標楷體" w:hint="eastAsia"/>
                <w:color w:val="000000"/>
              </w:rPr>
              <w:t>公告事項四</w:t>
            </w:r>
            <w:r w:rsidRPr="00F360DD">
              <w:rPr>
                <w:rFonts w:eastAsia="標楷體" w:hint="eastAsia"/>
              </w:rPr>
              <w:t>之規定。</w:t>
            </w:r>
          </w:p>
          <w:p w:rsidR="00E05BD6" w:rsidRDefault="00E05BD6" w:rsidP="00805306">
            <w:pPr>
              <w:numPr>
                <w:ilvl w:val="0"/>
                <w:numId w:val="7"/>
              </w:numPr>
              <w:jc w:val="both"/>
              <w:rPr>
                <w:rFonts w:eastAsia="標楷體"/>
              </w:rPr>
            </w:pPr>
            <w:r w:rsidRPr="00F360DD">
              <w:rPr>
                <w:rFonts w:eastAsia="標楷體" w:hint="eastAsia"/>
              </w:rPr>
              <w:t>依據</w:t>
            </w:r>
            <w:r>
              <w:rPr>
                <w:rFonts w:eastAsia="標楷體" w:hint="eastAsia"/>
              </w:rPr>
              <w:t>本署</w:t>
            </w:r>
            <w:r w:rsidRPr="00F360DD">
              <w:rPr>
                <w:rFonts w:eastAsia="標楷體" w:hint="eastAsia"/>
              </w:rPr>
              <w:t>研究計畫結果顯示臭氧前驅物合計排放量或</w:t>
            </w:r>
            <w:r w:rsidRPr="0009374C">
              <w:rPr>
                <w:rFonts w:eastAsia="標楷體" w:hint="eastAsia"/>
              </w:rPr>
              <w:t>（</w:t>
            </w:r>
            <w:r w:rsidRPr="00F360DD">
              <w:rPr>
                <w:rFonts w:eastAsia="標楷體" w:hint="eastAsia"/>
              </w:rPr>
              <w:t>細</w:t>
            </w:r>
            <w:r w:rsidRPr="0009374C">
              <w:rPr>
                <w:rFonts w:eastAsia="標楷體" w:hint="eastAsia"/>
              </w:rPr>
              <w:t>）</w:t>
            </w:r>
            <w:r w:rsidRPr="00F360DD">
              <w:rPr>
                <w:rFonts w:eastAsia="標楷體" w:hint="eastAsia"/>
              </w:rPr>
              <w:t>懸浮微粒前驅物合計排放量小於五百公噸</w:t>
            </w:r>
            <w:r w:rsidRPr="00F360DD">
              <w:rPr>
                <w:rFonts w:eastAsia="標楷體"/>
              </w:rPr>
              <w:t>/</w:t>
            </w:r>
            <w:r w:rsidRPr="00F360DD">
              <w:rPr>
                <w:rFonts w:eastAsia="標楷體" w:hint="eastAsia"/>
              </w:rPr>
              <w:t>年時，所造成之臭氧增量或</w:t>
            </w:r>
            <w:r w:rsidRPr="0009374C">
              <w:rPr>
                <w:rFonts w:eastAsia="標楷體" w:hint="eastAsia"/>
              </w:rPr>
              <w:t>（</w:t>
            </w:r>
            <w:r w:rsidRPr="00F360DD">
              <w:rPr>
                <w:rFonts w:eastAsia="標楷體" w:hint="eastAsia"/>
              </w:rPr>
              <w:t>細</w:t>
            </w:r>
            <w:r w:rsidRPr="0009374C">
              <w:rPr>
                <w:rFonts w:eastAsia="標楷體" w:hint="eastAsia"/>
              </w:rPr>
              <w:t>）</w:t>
            </w:r>
            <w:r w:rsidRPr="00F360DD">
              <w:rPr>
                <w:rFonts w:eastAsia="標楷體" w:hint="eastAsia"/>
              </w:rPr>
              <w:t>懸浮微粒超出目前法規容許增量限值之機會甚低，然為避免排放量低於五百公噸</w:t>
            </w:r>
            <w:r w:rsidRPr="00F360DD">
              <w:rPr>
                <w:rFonts w:eastAsia="標楷體"/>
              </w:rPr>
              <w:t>/</w:t>
            </w:r>
            <w:r w:rsidRPr="00F360DD">
              <w:rPr>
                <w:rFonts w:eastAsia="標楷體" w:hint="eastAsia"/>
              </w:rPr>
              <w:t>年仍有超出容許增量限值之虞，故訂定年許可排放量合計達二百五十公噸，但未達五百公噸者需再使用軌跡類模式或網格類模式進行模擬。</w:t>
            </w:r>
          </w:p>
          <w:p w:rsidR="00E05BD6" w:rsidRPr="00F360DD" w:rsidRDefault="00E05BD6" w:rsidP="00E813A8">
            <w:pPr>
              <w:numPr>
                <w:ilvl w:val="0"/>
                <w:numId w:val="7"/>
              </w:numPr>
              <w:jc w:val="both"/>
              <w:rPr>
                <w:rFonts w:eastAsia="標楷體"/>
              </w:rPr>
            </w:pPr>
            <w:r>
              <w:rPr>
                <w:rFonts w:eastAsia="標楷體" w:hint="eastAsia"/>
              </w:rPr>
              <w:t>僅揮發性有機物乙項排放量符合公告之一定規模者，不在此限</w:t>
            </w:r>
            <w:r w:rsidRPr="00F360DD">
              <w:rPr>
                <w:rFonts w:eastAsia="標楷體" w:hint="eastAsia"/>
              </w:rPr>
              <w:t>，並無學理依據，予以刪除。</w:t>
            </w:r>
          </w:p>
          <w:p w:rsidR="00E05BD6" w:rsidRPr="00F360DD" w:rsidRDefault="00E05BD6" w:rsidP="00805306">
            <w:pPr>
              <w:numPr>
                <w:ilvl w:val="0"/>
                <w:numId w:val="7"/>
              </w:numPr>
              <w:jc w:val="both"/>
              <w:rPr>
                <w:rFonts w:eastAsia="標楷體"/>
              </w:rPr>
            </w:pPr>
            <w:r w:rsidRPr="00F360DD">
              <w:rPr>
                <w:rFonts w:eastAsia="標楷體" w:hint="eastAsia"/>
              </w:rPr>
              <w:t>懸浮微粒及細懸浮微粒均為原生性及衍生性之總和。</w:t>
            </w:r>
          </w:p>
          <w:p w:rsidR="00E05BD6" w:rsidRPr="00F360DD" w:rsidRDefault="00E05BD6" w:rsidP="00805306">
            <w:pPr>
              <w:numPr>
                <w:ilvl w:val="0"/>
                <w:numId w:val="7"/>
              </w:numPr>
              <w:jc w:val="both"/>
              <w:rPr>
                <w:rFonts w:eastAsia="標楷體"/>
              </w:rPr>
            </w:pPr>
            <w:r w:rsidRPr="00F360DD">
              <w:rPr>
                <w:rFonts w:eastAsia="標楷體" w:hint="eastAsia"/>
              </w:rPr>
              <w:t>污染源排放之粒狀物、硫氧化物、氮氧化物、揮發性有機物與氨均為大氣中懸浮微粒及細懸浮微粒之來源或前驅物，因此應合併考量。五者合計之排放量仍適用既有之排放量門檻，此為加嚴管制之方式。</w:t>
            </w:r>
          </w:p>
        </w:tc>
      </w:tr>
      <w:tr w:rsidR="00E05BD6" w:rsidRPr="003C52D8" w:rsidTr="0008258D">
        <w:trPr>
          <w:trHeight w:val="9536"/>
          <w:jc w:val="center"/>
        </w:trPr>
        <w:tc>
          <w:tcPr>
            <w:tcW w:w="3124" w:type="dxa"/>
          </w:tcPr>
          <w:p w:rsidR="00E05BD6" w:rsidRPr="003C52D8" w:rsidRDefault="00E05BD6" w:rsidP="007928A9">
            <w:pPr>
              <w:ind w:leftChars="-45" w:left="329" w:hangingChars="182" w:hanging="437"/>
              <w:rPr>
                <w:rFonts w:eastAsia="標楷體"/>
              </w:rPr>
            </w:pPr>
            <w:r w:rsidRPr="003C52D8">
              <w:rPr>
                <w:rFonts w:eastAsia="標楷體" w:hint="eastAsia"/>
              </w:rPr>
              <w:t>六、新增</w:t>
            </w:r>
            <w:r w:rsidRPr="0009374C">
              <w:rPr>
                <w:rFonts w:eastAsia="標楷體" w:hint="eastAsia"/>
              </w:rPr>
              <w:t>（</w:t>
            </w:r>
            <w:r w:rsidRPr="003C52D8">
              <w:rPr>
                <w:rFonts w:eastAsia="標楷體" w:hint="eastAsia"/>
              </w:rPr>
              <w:t>設</w:t>
            </w:r>
            <w:r w:rsidRPr="0009374C">
              <w:rPr>
                <w:rFonts w:eastAsia="標楷體" w:hint="eastAsia"/>
              </w:rPr>
              <w:t>）</w:t>
            </w:r>
            <w:r w:rsidRPr="003C52D8">
              <w:rPr>
                <w:rFonts w:eastAsia="標楷體" w:hint="eastAsia"/>
              </w:rPr>
              <w:t>或變更之固定污染源有下列情形之一者，</w:t>
            </w:r>
            <w:r w:rsidRPr="003C52D8">
              <w:rPr>
                <w:rFonts w:eastAsia="標楷體" w:hint="eastAsia"/>
                <w:color w:val="FF0000"/>
                <w:u w:val="single"/>
              </w:rPr>
              <w:t>除依</w:t>
            </w:r>
            <w:r>
              <w:rPr>
                <w:rFonts w:eastAsia="標楷體" w:hint="eastAsia"/>
                <w:color w:val="FF0000"/>
                <w:u w:val="single"/>
              </w:rPr>
              <w:t>公告事項四</w:t>
            </w:r>
            <w:r w:rsidRPr="003C52D8">
              <w:rPr>
                <w:rFonts w:eastAsia="標楷體" w:hint="eastAsia"/>
                <w:color w:val="FF0000"/>
                <w:u w:val="single"/>
              </w:rPr>
              <w:t>進行高斯</w:t>
            </w:r>
            <w:r>
              <w:rPr>
                <w:rFonts w:eastAsia="標楷體" w:hint="eastAsia"/>
                <w:color w:val="FF0000"/>
                <w:u w:val="single"/>
              </w:rPr>
              <w:t>類</w:t>
            </w:r>
            <w:r w:rsidRPr="003C52D8">
              <w:rPr>
                <w:rFonts w:eastAsia="標楷體" w:hint="eastAsia"/>
                <w:color w:val="FF0000"/>
                <w:u w:val="single"/>
              </w:rPr>
              <w:t>模式模擬外</w:t>
            </w:r>
            <w:r w:rsidRPr="003C52D8">
              <w:rPr>
                <w:rFonts w:eastAsia="標楷體" w:hint="eastAsia"/>
              </w:rPr>
              <w:t>，應</w:t>
            </w:r>
            <w:r w:rsidRPr="003C52D8">
              <w:rPr>
                <w:rFonts w:eastAsia="標楷體" w:hint="eastAsia"/>
                <w:color w:val="FF0000"/>
                <w:u w:val="single"/>
              </w:rPr>
              <w:t>再</w:t>
            </w:r>
            <w:r w:rsidRPr="003C52D8">
              <w:rPr>
                <w:rFonts w:eastAsia="標楷體" w:hint="eastAsia"/>
              </w:rPr>
              <w:t>使用</w:t>
            </w:r>
            <w:r>
              <w:rPr>
                <w:rFonts w:eastAsia="標楷體" w:hint="eastAsia"/>
              </w:rPr>
              <w:t>網格類</w:t>
            </w:r>
            <w:r w:rsidRPr="003C52D8">
              <w:rPr>
                <w:rFonts w:eastAsia="標楷體" w:hint="eastAsia"/>
              </w:rPr>
              <w:t>模式進行空氣品質之模擬：</w:t>
            </w:r>
          </w:p>
          <w:p w:rsidR="00E05BD6" w:rsidRPr="003C52D8" w:rsidRDefault="00E05BD6" w:rsidP="00804685">
            <w:pPr>
              <w:ind w:leftChars="100" w:left="960" w:hangingChars="300" w:hanging="720"/>
              <w:jc w:val="both"/>
              <w:rPr>
                <w:rFonts w:eastAsia="標楷體"/>
              </w:rPr>
            </w:pPr>
            <w:r w:rsidRPr="003C52D8">
              <w:rPr>
                <w:rFonts w:eastAsia="標楷體" w:hint="eastAsia"/>
              </w:rPr>
              <w:t>（一）氮氧化物與揮發性有機物申請年許可排放量合計達</w:t>
            </w:r>
            <w:r w:rsidRPr="008A7123">
              <w:rPr>
                <w:rFonts w:eastAsia="標楷體" w:hint="eastAsia"/>
                <w:u w:val="single"/>
              </w:rPr>
              <w:t>五百公噸</w:t>
            </w:r>
            <w:r w:rsidRPr="003C52D8">
              <w:rPr>
                <w:rFonts w:eastAsia="標楷體" w:hint="eastAsia"/>
              </w:rPr>
              <w:t>以上者，應模擬臭氧濃度增量</w:t>
            </w:r>
            <w:r w:rsidRPr="003C52D8">
              <w:rPr>
                <w:rFonts w:eastAsia="標楷體" w:hint="eastAsia"/>
                <w:color w:val="FF0000"/>
                <w:u w:val="single"/>
              </w:rPr>
              <w:t>及二氧化氮濃度增量</w:t>
            </w:r>
            <w:r w:rsidRPr="003C52D8">
              <w:rPr>
                <w:rFonts w:eastAsia="標楷體" w:hint="eastAsia"/>
              </w:rPr>
              <w:t>。</w:t>
            </w:r>
          </w:p>
          <w:p w:rsidR="00E05BD6" w:rsidRPr="003C52D8" w:rsidRDefault="00E05BD6" w:rsidP="00804685">
            <w:pPr>
              <w:ind w:leftChars="100" w:left="960" w:hangingChars="300" w:hanging="720"/>
              <w:jc w:val="both"/>
              <w:rPr>
                <w:rFonts w:eastAsia="標楷體"/>
                <w:u w:val="single"/>
              </w:rPr>
            </w:pPr>
            <w:r w:rsidRPr="003C52D8">
              <w:rPr>
                <w:rFonts w:eastAsia="標楷體" w:hint="eastAsia"/>
              </w:rPr>
              <w:t>（二）</w:t>
            </w:r>
            <w:r w:rsidRPr="003C52D8">
              <w:rPr>
                <w:rFonts w:eastAsia="標楷體" w:hint="eastAsia"/>
                <w:color w:val="FF0000"/>
                <w:u w:val="single"/>
              </w:rPr>
              <w:t>粒狀污染物</w:t>
            </w:r>
            <w:r w:rsidRPr="003C52D8">
              <w:rPr>
                <w:rFonts w:eastAsia="標楷體" w:hint="eastAsia"/>
              </w:rPr>
              <w:t>、硫氧化物</w:t>
            </w:r>
            <w:r w:rsidRPr="008A7123">
              <w:rPr>
                <w:rFonts w:eastAsia="標楷體" w:hint="eastAsia"/>
                <w:u w:val="single"/>
              </w:rPr>
              <w:t>、</w:t>
            </w:r>
            <w:r w:rsidRPr="003C52D8">
              <w:rPr>
                <w:rFonts w:eastAsia="標楷體" w:hint="eastAsia"/>
              </w:rPr>
              <w:t>氮氧化物、</w:t>
            </w:r>
            <w:r w:rsidRPr="008A7123">
              <w:rPr>
                <w:rFonts w:eastAsia="標楷體" w:hint="eastAsia"/>
                <w:u w:val="single"/>
              </w:rPr>
              <w:t>揮發性有機物</w:t>
            </w:r>
            <w:r w:rsidRPr="003C52D8">
              <w:rPr>
                <w:rFonts w:eastAsia="標楷體" w:hint="eastAsia"/>
              </w:rPr>
              <w:t>、</w:t>
            </w:r>
            <w:r w:rsidRPr="008A7123">
              <w:rPr>
                <w:rFonts w:eastAsia="標楷體" w:hint="eastAsia"/>
                <w:u w:val="single"/>
              </w:rPr>
              <w:t>與氨之</w:t>
            </w:r>
            <w:r w:rsidRPr="003C52D8">
              <w:rPr>
                <w:rFonts w:eastAsia="標楷體" w:hint="eastAsia"/>
              </w:rPr>
              <w:t>申請年許可排放量合計達</w:t>
            </w:r>
            <w:r w:rsidRPr="008A7123">
              <w:rPr>
                <w:rFonts w:eastAsia="標楷體" w:hint="eastAsia"/>
                <w:u w:val="single"/>
              </w:rPr>
              <w:t>五百公噸</w:t>
            </w:r>
            <w:r w:rsidRPr="003C52D8">
              <w:rPr>
                <w:rFonts w:eastAsia="標楷體" w:hint="eastAsia"/>
              </w:rPr>
              <w:t>以上者，應模擬</w:t>
            </w:r>
            <w:r w:rsidRPr="008A7123">
              <w:rPr>
                <w:rFonts w:eastAsia="標楷體" w:hint="eastAsia"/>
                <w:u w:val="single"/>
              </w:rPr>
              <w:t>懸浮微粒（</w:t>
            </w:r>
            <w:r w:rsidRPr="008A7123">
              <w:rPr>
                <w:rFonts w:eastAsia="標楷體"/>
                <w:u w:val="single"/>
              </w:rPr>
              <w:t>PM</w:t>
            </w:r>
            <w:r w:rsidRPr="008A7123">
              <w:rPr>
                <w:rFonts w:eastAsia="標楷體"/>
                <w:u w:val="single"/>
                <w:vertAlign w:val="subscript"/>
              </w:rPr>
              <w:t>10</w:t>
            </w:r>
            <w:r w:rsidRPr="008A7123">
              <w:rPr>
                <w:rFonts w:eastAsia="標楷體" w:hint="eastAsia"/>
                <w:u w:val="single"/>
              </w:rPr>
              <w:t>）濃度增</w:t>
            </w:r>
            <w:r w:rsidRPr="003C52D8">
              <w:rPr>
                <w:rFonts w:eastAsia="標楷體" w:hint="eastAsia"/>
              </w:rPr>
              <w:t>量</w:t>
            </w:r>
            <w:r w:rsidRPr="003C52D8">
              <w:rPr>
                <w:rFonts w:eastAsia="標楷體" w:hint="eastAsia"/>
                <w:color w:val="FF0000"/>
                <w:u w:val="single"/>
              </w:rPr>
              <w:t>、細懸浮微粒</w:t>
            </w:r>
            <w:r w:rsidRPr="003F683B">
              <w:rPr>
                <w:rFonts w:eastAsia="標楷體" w:hint="eastAsia"/>
                <w:color w:val="FF0000"/>
              </w:rPr>
              <w:t>（</w:t>
            </w:r>
            <w:r w:rsidRPr="003F683B">
              <w:rPr>
                <w:rFonts w:eastAsia="標楷體"/>
                <w:color w:val="FF0000"/>
                <w:u w:val="single"/>
              </w:rPr>
              <w:t>PM</w:t>
            </w:r>
            <w:r w:rsidRPr="003F683B">
              <w:rPr>
                <w:rFonts w:eastAsia="標楷體"/>
                <w:color w:val="FF0000"/>
                <w:u w:val="single"/>
                <w:vertAlign w:val="subscript"/>
              </w:rPr>
              <w:t>2.5</w:t>
            </w:r>
            <w:r w:rsidRPr="003F683B">
              <w:rPr>
                <w:rFonts w:eastAsia="標楷體" w:hint="eastAsia"/>
                <w:color w:val="FF0000"/>
              </w:rPr>
              <w:t>）</w:t>
            </w:r>
            <w:r w:rsidRPr="003F683B">
              <w:rPr>
                <w:rFonts w:eastAsia="標楷體" w:hint="eastAsia"/>
                <w:color w:val="FF0000"/>
                <w:u w:val="single"/>
              </w:rPr>
              <w:t>濃</w:t>
            </w:r>
            <w:r w:rsidRPr="003C52D8">
              <w:rPr>
                <w:rFonts w:eastAsia="標楷體" w:hint="eastAsia"/>
                <w:color w:val="FF0000"/>
                <w:u w:val="single"/>
              </w:rPr>
              <w:t>度增量、二氧化硫濃度增量及二氧化氮濃度增量</w:t>
            </w:r>
            <w:r w:rsidRPr="003C52D8">
              <w:rPr>
                <w:rFonts w:eastAsia="標楷體" w:hint="eastAsia"/>
              </w:rPr>
              <w:t>。</w:t>
            </w:r>
            <w:r w:rsidRPr="008A7123">
              <w:rPr>
                <w:rFonts w:eastAsia="標楷體" w:hint="eastAsia"/>
                <w:u w:val="single"/>
              </w:rPr>
              <w:t>懸浮微粒及細懸浮微粒之濃度增量應為原生性及衍生性的總和。</w:t>
            </w:r>
          </w:p>
        </w:tc>
        <w:tc>
          <w:tcPr>
            <w:tcW w:w="3124" w:type="dxa"/>
          </w:tcPr>
          <w:p w:rsidR="00E05BD6" w:rsidRPr="003C52D8" w:rsidRDefault="00E05BD6" w:rsidP="00D273B5">
            <w:pPr>
              <w:ind w:leftChars="-45" w:left="432" w:hangingChars="225" w:hanging="540"/>
              <w:rPr>
                <w:rFonts w:eastAsia="標楷體"/>
                <w:u w:val="single"/>
              </w:rPr>
            </w:pPr>
            <w:r w:rsidRPr="00D057BB">
              <w:rPr>
                <w:rFonts w:eastAsia="標楷體" w:hint="eastAsia"/>
              </w:rPr>
              <w:t>六</w:t>
            </w:r>
            <w:r w:rsidRPr="009100B5">
              <w:rPr>
                <w:rFonts w:eastAsia="標楷體" w:hint="eastAsia"/>
              </w:rPr>
              <w:t>、新增（設）或變更之固定污染源有下列情形之一者，</w:t>
            </w:r>
            <w:r w:rsidRPr="00D057BB">
              <w:rPr>
                <w:rFonts w:eastAsia="標楷體" w:hint="eastAsia"/>
              </w:rPr>
              <w:t>應使用網格模式進行空氣品質之模擬：</w:t>
            </w:r>
          </w:p>
          <w:p w:rsidR="00E05BD6" w:rsidRPr="00CA4A9A" w:rsidRDefault="00E05BD6" w:rsidP="00804685">
            <w:pPr>
              <w:ind w:leftChars="100" w:left="960" w:hangingChars="300" w:hanging="720"/>
              <w:jc w:val="both"/>
              <w:rPr>
                <w:rFonts w:eastAsia="標楷體"/>
              </w:rPr>
            </w:pPr>
            <w:r w:rsidRPr="00CA4A9A">
              <w:rPr>
                <w:rFonts w:eastAsia="標楷體" w:hint="eastAsia"/>
              </w:rPr>
              <w:t>（一）氮氧化物與揮發性有機物申請年許可排放量合計達</w:t>
            </w:r>
            <w:r w:rsidRPr="00CA4A9A">
              <w:rPr>
                <w:rFonts w:eastAsia="標楷體" w:hint="eastAsia"/>
                <w:u w:val="single"/>
              </w:rPr>
              <w:t>一千公噸</w:t>
            </w:r>
            <w:r w:rsidRPr="00CA4A9A">
              <w:rPr>
                <w:rFonts w:eastAsia="標楷體" w:hint="eastAsia"/>
              </w:rPr>
              <w:t>以上者，應模擬臭氧濃度增量。</w:t>
            </w:r>
          </w:p>
          <w:p w:rsidR="00E05BD6" w:rsidRPr="003C52D8" w:rsidRDefault="00E05BD6" w:rsidP="00804685">
            <w:pPr>
              <w:ind w:leftChars="100" w:left="960" w:hangingChars="300" w:hanging="720"/>
              <w:jc w:val="both"/>
              <w:rPr>
                <w:rFonts w:eastAsia="標楷體"/>
              </w:rPr>
            </w:pPr>
            <w:r w:rsidRPr="00CA4A9A">
              <w:rPr>
                <w:rFonts w:eastAsia="標楷體" w:hint="eastAsia"/>
              </w:rPr>
              <w:t>（二）硫氧化物與氮氧化物申請年許可排放量合計達</w:t>
            </w:r>
            <w:r w:rsidRPr="00CA4A9A">
              <w:rPr>
                <w:rFonts w:eastAsia="標楷體" w:hint="eastAsia"/>
                <w:u w:val="single"/>
              </w:rPr>
              <w:t>一千公噸</w:t>
            </w:r>
            <w:r w:rsidRPr="00CA4A9A">
              <w:rPr>
                <w:rFonts w:eastAsia="標楷體" w:hint="eastAsia"/>
              </w:rPr>
              <w:t>以上者，應模擬</w:t>
            </w:r>
            <w:r w:rsidRPr="00D057BB">
              <w:rPr>
                <w:rFonts w:eastAsia="標楷體" w:hint="eastAsia"/>
                <w:u w:val="single"/>
              </w:rPr>
              <w:t>衍生性懸浮微粒濃度增量，並與原生性懸浮微粒合計為懸浮微粒之增量。</w:t>
            </w:r>
          </w:p>
        </w:tc>
        <w:tc>
          <w:tcPr>
            <w:tcW w:w="3124" w:type="dxa"/>
          </w:tcPr>
          <w:p w:rsidR="00E05BD6" w:rsidRPr="00F360DD" w:rsidRDefault="00E05BD6" w:rsidP="000903D7">
            <w:pPr>
              <w:numPr>
                <w:ilvl w:val="1"/>
                <w:numId w:val="6"/>
              </w:numPr>
              <w:tabs>
                <w:tab w:val="clear" w:pos="960"/>
                <w:tab w:val="num" w:pos="477"/>
              </w:tabs>
              <w:ind w:left="477"/>
              <w:jc w:val="both"/>
              <w:rPr>
                <w:rFonts w:eastAsia="標楷體"/>
              </w:rPr>
            </w:pPr>
            <w:r w:rsidRPr="00F360DD">
              <w:rPr>
                <w:rFonts w:eastAsia="標楷體" w:hint="eastAsia"/>
              </w:rPr>
              <w:t>使用軌跡或網格類模式模擬原生污染物濃度增量主要是檢視大型污染源在遠距的複雜山區地形是否有高值產生，並非取代高斯類擴散模式之近場模擬結果，故不能免除</w:t>
            </w:r>
            <w:r w:rsidRPr="00E813A8">
              <w:rPr>
                <w:rFonts w:eastAsia="標楷體" w:hint="eastAsia"/>
                <w:color w:val="000000"/>
              </w:rPr>
              <w:t>公告事項四</w:t>
            </w:r>
            <w:r w:rsidRPr="00F360DD">
              <w:rPr>
                <w:rFonts w:eastAsia="標楷體" w:hint="eastAsia"/>
              </w:rPr>
              <w:t>之規定。</w:t>
            </w:r>
          </w:p>
          <w:p w:rsidR="00E05BD6" w:rsidRPr="00F360DD" w:rsidRDefault="00E05BD6" w:rsidP="000903D7">
            <w:pPr>
              <w:numPr>
                <w:ilvl w:val="1"/>
                <w:numId w:val="6"/>
              </w:numPr>
              <w:tabs>
                <w:tab w:val="clear" w:pos="960"/>
                <w:tab w:val="num" w:pos="477"/>
              </w:tabs>
              <w:ind w:left="477"/>
              <w:jc w:val="both"/>
              <w:rPr>
                <w:rFonts w:eastAsia="標楷體"/>
              </w:rPr>
            </w:pPr>
            <w:r w:rsidRPr="00F360DD">
              <w:rPr>
                <w:rFonts w:eastAsia="標楷體" w:hint="eastAsia"/>
              </w:rPr>
              <w:t>依據</w:t>
            </w:r>
            <w:r>
              <w:rPr>
                <w:rFonts w:eastAsia="標楷體" w:hint="eastAsia"/>
              </w:rPr>
              <w:t>本署</w:t>
            </w:r>
            <w:r w:rsidRPr="00F360DD">
              <w:rPr>
                <w:rFonts w:eastAsia="標楷體" w:hint="eastAsia"/>
              </w:rPr>
              <w:t>研究計畫結果顯示臭氧前驅物合計排放量或</w:t>
            </w:r>
            <w:r w:rsidRPr="0009374C">
              <w:rPr>
                <w:rFonts w:eastAsia="標楷體" w:hint="eastAsia"/>
              </w:rPr>
              <w:t>（</w:t>
            </w:r>
            <w:r w:rsidRPr="00F360DD">
              <w:rPr>
                <w:rFonts w:eastAsia="標楷體" w:hint="eastAsia"/>
              </w:rPr>
              <w:t>細</w:t>
            </w:r>
            <w:r w:rsidRPr="0009374C">
              <w:rPr>
                <w:rFonts w:eastAsia="標楷體" w:hint="eastAsia"/>
              </w:rPr>
              <w:t>）</w:t>
            </w:r>
            <w:r w:rsidRPr="00F360DD">
              <w:rPr>
                <w:rFonts w:eastAsia="標楷體" w:hint="eastAsia"/>
              </w:rPr>
              <w:t>懸浮微粒前驅物合計排放量小於五百公噸</w:t>
            </w:r>
            <w:r w:rsidRPr="00F360DD">
              <w:rPr>
                <w:rFonts w:eastAsia="標楷體"/>
              </w:rPr>
              <w:t>/</w:t>
            </w:r>
            <w:r w:rsidRPr="00F360DD">
              <w:rPr>
                <w:rFonts w:eastAsia="標楷體" w:hint="eastAsia"/>
              </w:rPr>
              <w:t>年時，所造成之臭氧增量或</w:t>
            </w:r>
            <w:r w:rsidRPr="0009374C">
              <w:rPr>
                <w:rFonts w:eastAsia="標楷體" w:hint="eastAsia"/>
              </w:rPr>
              <w:t>（</w:t>
            </w:r>
            <w:r w:rsidRPr="00F360DD">
              <w:rPr>
                <w:rFonts w:eastAsia="標楷體" w:hint="eastAsia"/>
              </w:rPr>
              <w:t>細</w:t>
            </w:r>
            <w:r w:rsidRPr="0009374C">
              <w:rPr>
                <w:rFonts w:eastAsia="標楷體" w:hint="eastAsia"/>
              </w:rPr>
              <w:t>）</w:t>
            </w:r>
            <w:r w:rsidRPr="00F360DD">
              <w:rPr>
                <w:rFonts w:eastAsia="標楷體" w:hint="eastAsia"/>
              </w:rPr>
              <w:t>懸浮微粒超出目前法規容許增量限值之機會甚低，因此針對年許可排放量合計達五百公噸以上者需再使用網格類模式進行模擬以評估其增量是否符合容許增量限值規定。</w:t>
            </w:r>
          </w:p>
          <w:p w:rsidR="00E05BD6" w:rsidRPr="00F360DD" w:rsidRDefault="00E05BD6" w:rsidP="000903D7">
            <w:pPr>
              <w:numPr>
                <w:ilvl w:val="1"/>
                <w:numId w:val="6"/>
              </w:numPr>
              <w:tabs>
                <w:tab w:val="clear" w:pos="960"/>
                <w:tab w:val="num" w:pos="477"/>
              </w:tabs>
              <w:ind w:left="477"/>
              <w:jc w:val="both"/>
              <w:rPr>
                <w:rFonts w:eastAsia="標楷體"/>
              </w:rPr>
            </w:pPr>
            <w:r w:rsidRPr="00F360DD">
              <w:rPr>
                <w:rFonts w:eastAsia="標楷體" w:hint="eastAsia"/>
              </w:rPr>
              <w:t>懸浮微粒及細懸浮微粒均為原生性及衍生性之總和。</w:t>
            </w:r>
          </w:p>
          <w:p w:rsidR="00E05BD6" w:rsidRPr="00F360DD" w:rsidRDefault="00E05BD6" w:rsidP="00E813A8">
            <w:pPr>
              <w:numPr>
                <w:ilvl w:val="1"/>
                <w:numId w:val="6"/>
              </w:numPr>
              <w:tabs>
                <w:tab w:val="clear" w:pos="960"/>
                <w:tab w:val="num" w:pos="477"/>
              </w:tabs>
              <w:ind w:left="477"/>
              <w:jc w:val="both"/>
              <w:rPr>
                <w:rFonts w:eastAsia="標楷體"/>
              </w:rPr>
            </w:pPr>
            <w:r w:rsidRPr="00F360DD">
              <w:rPr>
                <w:rFonts w:eastAsia="標楷體" w:hint="eastAsia"/>
              </w:rPr>
              <w:t>污染源排放之粒狀物、硫氧化物、氮氧化物、揮發性有機物與氨均為大氣中懸浮微粒及細懸浮微粒之來源或前驅物，因此應合併考量。五者合計之排放量仍適用既有之排放量門檻，此為加嚴管制之方式。</w:t>
            </w:r>
          </w:p>
        </w:tc>
      </w:tr>
      <w:tr w:rsidR="00E05BD6" w:rsidRPr="003C52D8" w:rsidTr="0008258D">
        <w:trPr>
          <w:trHeight w:val="1187"/>
          <w:jc w:val="center"/>
        </w:trPr>
        <w:tc>
          <w:tcPr>
            <w:tcW w:w="3124" w:type="dxa"/>
          </w:tcPr>
          <w:p w:rsidR="00E05BD6" w:rsidRDefault="00E05BD6" w:rsidP="0056757C">
            <w:pPr>
              <w:ind w:left="480" w:hangingChars="200" w:hanging="480"/>
              <w:jc w:val="both"/>
              <w:rPr>
                <w:rFonts w:eastAsia="標楷體"/>
              </w:rPr>
            </w:pPr>
            <w:r w:rsidRPr="003C52D8">
              <w:rPr>
                <w:rFonts w:eastAsia="標楷體" w:hint="eastAsia"/>
              </w:rPr>
              <w:t>七、</w:t>
            </w:r>
            <w:r w:rsidRPr="003C52D8">
              <w:rPr>
                <w:rFonts w:eastAsia="標楷體" w:hint="eastAsia"/>
                <w:color w:val="FF0000"/>
                <w:u w:val="single"/>
              </w:rPr>
              <w:t>高斯</w:t>
            </w:r>
            <w:r>
              <w:rPr>
                <w:rFonts w:eastAsia="標楷體" w:hint="eastAsia"/>
                <w:color w:val="FF0000"/>
                <w:u w:val="single"/>
              </w:rPr>
              <w:t>類</w:t>
            </w:r>
            <w:r w:rsidRPr="003C52D8">
              <w:rPr>
                <w:rFonts w:eastAsia="標楷體" w:hint="eastAsia"/>
                <w:color w:val="FF0000"/>
                <w:u w:val="single"/>
              </w:rPr>
              <w:t>擴散模式模擬之模擬期程為三年，軌跡</w:t>
            </w:r>
            <w:r>
              <w:rPr>
                <w:rFonts w:eastAsia="標楷體" w:hint="eastAsia"/>
                <w:color w:val="FF0000"/>
                <w:u w:val="single"/>
              </w:rPr>
              <w:t>類</w:t>
            </w:r>
            <w:r w:rsidRPr="003C52D8">
              <w:rPr>
                <w:rFonts w:eastAsia="標楷體" w:hint="eastAsia"/>
                <w:color w:val="FF0000"/>
                <w:u w:val="single"/>
              </w:rPr>
              <w:t>及</w:t>
            </w:r>
            <w:r>
              <w:rPr>
                <w:rFonts w:eastAsia="標楷體" w:hint="eastAsia"/>
                <w:color w:val="FF0000"/>
                <w:u w:val="single"/>
              </w:rPr>
              <w:t>網格類</w:t>
            </w:r>
            <w:r w:rsidRPr="003C52D8">
              <w:rPr>
                <w:rFonts w:eastAsia="標楷體" w:hint="eastAsia"/>
                <w:color w:val="FF0000"/>
                <w:u w:val="single"/>
              </w:rPr>
              <w:t>模式之模擬期程如附表一。</w:t>
            </w:r>
            <w:r w:rsidRPr="003C52D8">
              <w:rPr>
                <w:rFonts w:eastAsia="標楷體" w:hint="eastAsia"/>
              </w:rPr>
              <w:t>各類型模式所需之氣象</w:t>
            </w:r>
            <w:r w:rsidRPr="003C52D8">
              <w:rPr>
                <w:rFonts w:eastAsia="標楷體" w:hint="eastAsia"/>
                <w:color w:val="FF0000"/>
                <w:u w:val="single"/>
              </w:rPr>
              <w:t>觀測</w:t>
            </w:r>
            <w:r w:rsidRPr="003C52D8">
              <w:rPr>
                <w:rFonts w:eastAsia="標楷體" w:hint="eastAsia"/>
              </w:rPr>
              <w:t>資料應使用中央主管機關公布於其網站者；中央主管機關尚未公布</w:t>
            </w:r>
            <w:r w:rsidRPr="003C52D8">
              <w:rPr>
                <w:rFonts w:eastAsia="標楷體" w:hint="eastAsia"/>
                <w:color w:val="FF0000"/>
                <w:u w:val="single"/>
              </w:rPr>
              <w:t>者</w:t>
            </w:r>
            <w:r w:rsidRPr="003C52D8">
              <w:rPr>
                <w:rFonts w:eastAsia="標楷體" w:hint="eastAsia"/>
              </w:rPr>
              <w:t>，應依下列順序引用：</w:t>
            </w:r>
          </w:p>
          <w:p w:rsidR="00E05BD6" w:rsidRDefault="00E05BD6" w:rsidP="00CA4A9A">
            <w:pPr>
              <w:ind w:leftChars="202" w:left="1207" w:hangingChars="301" w:hanging="722"/>
              <w:jc w:val="both"/>
              <w:rPr>
                <w:rFonts w:eastAsia="標楷體"/>
              </w:rPr>
            </w:pPr>
            <w:r w:rsidRPr="003C52D8">
              <w:rPr>
                <w:rFonts w:eastAsia="標楷體" w:hint="eastAsia"/>
              </w:rPr>
              <w:t>（一）交通部中央氣象局。</w:t>
            </w:r>
          </w:p>
          <w:p w:rsidR="00E05BD6" w:rsidRDefault="00E05BD6" w:rsidP="00CA4A9A">
            <w:pPr>
              <w:ind w:leftChars="202" w:left="1207" w:hangingChars="301" w:hanging="722"/>
              <w:jc w:val="both"/>
              <w:rPr>
                <w:rFonts w:eastAsia="標楷體"/>
              </w:rPr>
            </w:pPr>
            <w:r w:rsidRPr="003C52D8">
              <w:rPr>
                <w:rFonts w:eastAsia="標楷體" w:hint="eastAsia"/>
              </w:rPr>
              <w:t>（</w:t>
            </w:r>
            <w:r>
              <w:rPr>
                <w:rFonts w:eastAsia="標楷體" w:hint="eastAsia"/>
              </w:rPr>
              <w:t>二</w:t>
            </w:r>
            <w:r w:rsidRPr="003C52D8">
              <w:rPr>
                <w:rFonts w:eastAsia="標楷體" w:hint="eastAsia"/>
              </w:rPr>
              <w:t>）</w:t>
            </w:r>
            <w:r w:rsidRPr="00CA4A9A">
              <w:rPr>
                <w:rFonts w:eastAsia="標楷體" w:hint="eastAsia"/>
                <w:u w:val="single"/>
              </w:rPr>
              <w:t>中央主管機關</w:t>
            </w:r>
            <w:r w:rsidRPr="003C52D8">
              <w:rPr>
                <w:rFonts w:eastAsia="標楷體" w:hint="eastAsia"/>
              </w:rPr>
              <w:t>。</w:t>
            </w:r>
          </w:p>
          <w:p w:rsidR="00E05BD6" w:rsidRDefault="00E05BD6" w:rsidP="00CA4A9A">
            <w:pPr>
              <w:ind w:leftChars="202" w:left="1207" w:hangingChars="301" w:hanging="722"/>
              <w:jc w:val="both"/>
              <w:rPr>
                <w:rFonts w:eastAsia="標楷體"/>
              </w:rPr>
            </w:pPr>
            <w:r>
              <w:rPr>
                <w:rFonts w:eastAsia="標楷體" w:hint="eastAsia"/>
              </w:rPr>
              <w:t>（三</w:t>
            </w:r>
            <w:r w:rsidRPr="003C52D8">
              <w:rPr>
                <w:rFonts w:eastAsia="標楷體" w:hint="eastAsia"/>
              </w:rPr>
              <w:t>）交通部民用航空局。</w:t>
            </w:r>
          </w:p>
          <w:p w:rsidR="00E05BD6" w:rsidRPr="002B494A" w:rsidRDefault="00E05BD6" w:rsidP="00CA4A9A">
            <w:pPr>
              <w:ind w:leftChars="202" w:left="965" w:hangingChars="200" w:hanging="480"/>
              <w:jc w:val="both"/>
              <w:rPr>
                <w:rFonts w:eastAsia="標楷體"/>
                <w:color w:val="FF0000"/>
                <w:u w:val="single"/>
              </w:rPr>
            </w:pPr>
            <w:r w:rsidRPr="002B494A">
              <w:rPr>
                <w:rFonts w:eastAsia="標楷體" w:hint="eastAsia"/>
                <w:color w:val="FF0000"/>
                <w:u w:val="single"/>
              </w:rPr>
              <w:t>（四）空軍氣象聯隊。</w:t>
            </w:r>
          </w:p>
          <w:p w:rsidR="00E05BD6" w:rsidRPr="002B494A" w:rsidRDefault="00E05BD6" w:rsidP="00CA4A9A">
            <w:pPr>
              <w:ind w:leftChars="202" w:left="1207" w:hangingChars="301" w:hanging="722"/>
              <w:jc w:val="both"/>
              <w:rPr>
                <w:rFonts w:eastAsia="標楷體"/>
                <w:color w:val="FF0000"/>
                <w:u w:val="single"/>
              </w:rPr>
            </w:pPr>
            <w:r w:rsidRPr="002B494A">
              <w:rPr>
                <w:rFonts w:eastAsia="標楷體" w:hint="eastAsia"/>
                <w:color w:val="FF0000"/>
                <w:u w:val="single"/>
              </w:rPr>
              <w:t>（五）符合交通部中央氣象局設站品管要求之自設或其他單位設置之氣象站。</w:t>
            </w:r>
          </w:p>
          <w:p w:rsidR="00E05BD6" w:rsidRPr="002B494A" w:rsidRDefault="00E05BD6" w:rsidP="00CA4A9A">
            <w:pPr>
              <w:ind w:leftChars="202" w:left="1207" w:hangingChars="301" w:hanging="722"/>
              <w:jc w:val="both"/>
              <w:rPr>
                <w:rFonts w:eastAsia="標楷體"/>
                <w:strike/>
                <w:color w:val="FF0000"/>
                <w:u w:val="single"/>
              </w:rPr>
            </w:pPr>
            <w:r w:rsidRPr="002B494A">
              <w:rPr>
                <w:rFonts w:eastAsia="標楷體" w:hint="eastAsia"/>
                <w:color w:val="FF0000"/>
                <w:u w:val="single"/>
              </w:rPr>
              <w:t>（六）國際氣象組織可公開取得之氣象資料。</w:t>
            </w:r>
          </w:p>
        </w:tc>
        <w:tc>
          <w:tcPr>
            <w:tcW w:w="3124" w:type="dxa"/>
          </w:tcPr>
          <w:p w:rsidR="00E05BD6" w:rsidRPr="003C52D8" w:rsidRDefault="00E05BD6" w:rsidP="00AF5E0B">
            <w:pPr>
              <w:ind w:left="480" w:hangingChars="200" w:hanging="480"/>
              <w:jc w:val="both"/>
              <w:rPr>
                <w:rFonts w:eastAsia="標楷體"/>
              </w:rPr>
            </w:pPr>
            <w:r w:rsidRPr="003C52D8">
              <w:rPr>
                <w:rFonts w:eastAsia="標楷體" w:hint="eastAsia"/>
              </w:rPr>
              <w:t>七、各類型模式模擬所需之氣象資料、</w:t>
            </w:r>
            <w:r w:rsidRPr="00325608">
              <w:rPr>
                <w:rFonts w:eastAsia="標楷體" w:hint="eastAsia"/>
                <w:u w:val="single"/>
              </w:rPr>
              <w:t>背景濃度、背景排放量及模擬案例日資料，</w:t>
            </w:r>
            <w:r w:rsidRPr="003C52D8">
              <w:rPr>
                <w:rFonts w:eastAsia="標楷體" w:hint="eastAsia"/>
              </w:rPr>
              <w:t>應使用中央主管機關公布於其網站者；中央主管機關尚未公布時，</w:t>
            </w:r>
            <w:r w:rsidRPr="003C52D8">
              <w:rPr>
                <w:rFonts w:eastAsia="標楷體" w:hint="eastAsia"/>
                <w:u w:val="single"/>
              </w:rPr>
              <w:t>為因應實際需要，</w:t>
            </w:r>
            <w:r w:rsidRPr="003C52D8">
              <w:rPr>
                <w:rFonts w:eastAsia="標楷體" w:hint="eastAsia"/>
              </w:rPr>
              <w:t>應依下列來源依序採用：</w:t>
            </w:r>
          </w:p>
          <w:p w:rsidR="00E05BD6" w:rsidRPr="003C52D8" w:rsidRDefault="00E05BD6" w:rsidP="003F683B">
            <w:pPr>
              <w:ind w:leftChars="100" w:left="240"/>
              <w:rPr>
                <w:rFonts w:eastAsia="標楷體"/>
              </w:rPr>
            </w:pPr>
            <w:r w:rsidRPr="003C52D8">
              <w:rPr>
                <w:rFonts w:eastAsia="標楷體" w:hint="eastAsia"/>
              </w:rPr>
              <w:t>（一）</w:t>
            </w:r>
            <w:r w:rsidRPr="00CA4A9A">
              <w:rPr>
                <w:rFonts w:eastAsia="標楷體" w:hint="eastAsia"/>
                <w:u w:val="single"/>
              </w:rPr>
              <w:t>氣象資料</w:t>
            </w:r>
            <w:r w:rsidRPr="003C52D8">
              <w:rPr>
                <w:rFonts w:eastAsia="標楷體" w:hint="eastAsia"/>
              </w:rPr>
              <w:t>：</w:t>
            </w:r>
          </w:p>
          <w:p w:rsidR="00E05BD6" w:rsidRPr="003C52D8" w:rsidRDefault="00E05BD6" w:rsidP="003F683B">
            <w:pPr>
              <w:ind w:leftChars="200" w:left="720" w:hangingChars="100" w:hanging="240"/>
              <w:jc w:val="both"/>
              <w:rPr>
                <w:rFonts w:eastAsia="標楷體"/>
              </w:rPr>
            </w:pPr>
            <w:r w:rsidRPr="003C52D8">
              <w:rPr>
                <w:rFonts w:eastAsia="標楷體"/>
              </w:rPr>
              <w:t>1</w:t>
            </w:r>
            <w:r w:rsidRPr="003C52D8">
              <w:rPr>
                <w:rFonts w:eastAsia="標楷體" w:hint="eastAsia"/>
              </w:rPr>
              <w:t>、交通部中央氣象局。</w:t>
            </w:r>
          </w:p>
          <w:p w:rsidR="00E05BD6" w:rsidRPr="003C52D8" w:rsidRDefault="00E05BD6" w:rsidP="003F683B">
            <w:pPr>
              <w:ind w:leftChars="200" w:left="720" w:hangingChars="100" w:hanging="240"/>
              <w:jc w:val="both"/>
              <w:rPr>
                <w:rFonts w:eastAsia="標楷體"/>
              </w:rPr>
            </w:pPr>
            <w:r w:rsidRPr="003C52D8">
              <w:rPr>
                <w:rFonts w:eastAsia="標楷體"/>
              </w:rPr>
              <w:t>2</w:t>
            </w:r>
            <w:r w:rsidRPr="003C52D8">
              <w:rPr>
                <w:rFonts w:eastAsia="標楷體" w:hint="eastAsia"/>
              </w:rPr>
              <w:t>、</w:t>
            </w:r>
            <w:r w:rsidRPr="00CA4A9A">
              <w:rPr>
                <w:rFonts w:eastAsia="標楷體" w:hint="eastAsia"/>
                <w:u w:val="single"/>
              </w:rPr>
              <w:t>行政院環境保護署</w:t>
            </w:r>
            <w:r w:rsidRPr="00505DBB">
              <w:rPr>
                <w:rFonts w:eastAsia="標楷體" w:hint="eastAsia"/>
                <w:u w:val="single"/>
              </w:rPr>
              <w:t>空氣品質監測站</w:t>
            </w:r>
            <w:r w:rsidRPr="003C52D8">
              <w:rPr>
                <w:rFonts w:eastAsia="標楷體" w:hint="eastAsia"/>
              </w:rPr>
              <w:t>。</w:t>
            </w:r>
          </w:p>
          <w:p w:rsidR="00E05BD6" w:rsidRPr="003C52D8" w:rsidRDefault="00E05BD6" w:rsidP="003F683B">
            <w:pPr>
              <w:ind w:leftChars="200" w:left="720" w:hangingChars="100" w:hanging="240"/>
              <w:jc w:val="both"/>
              <w:rPr>
                <w:rFonts w:eastAsia="標楷體"/>
              </w:rPr>
            </w:pPr>
            <w:r w:rsidRPr="003C52D8">
              <w:rPr>
                <w:rFonts w:eastAsia="標楷體"/>
              </w:rPr>
              <w:t>3</w:t>
            </w:r>
            <w:r w:rsidRPr="003C52D8">
              <w:rPr>
                <w:rFonts w:eastAsia="標楷體" w:hint="eastAsia"/>
              </w:rPr>
              <w:t>、交通部民用航空局。</w:t>
            </w:r>
          </w:p>
          <w:p w:rsidR="00E05BD6" w:rsidRPr="003C52D8" w:rsidRDefault="00E05BD6" w:rsidP="003F683B">
            <w:pPr>
              <w:ind w:leftChars="200" w:left="720" w:hangingChars="100" w:hanging="240"/>
              <w:jc w:val="both"/>
              <w:rPr>
                <w:rFonts w:eastAsia="標楷體"/>
              </w:rPr>
            </w:pPr>
            <w:r w:rsidRPr="003C52D8">
              <w:rPr>
                <w:rFonts w:eastAsia="標楷體"/>
              </w:rPr>
              <w:t>4</w:t>
            </w:r>
            <w:r w:rsidRPr="003C52D8">
              <w:rPr>
                <w:rFonts w:eastAsia="標楷體" w:hint="eastAsia"/>
              </w:rPr>
              <w:t>、</w:t>
            </w:r>
            <w:r w:rsidRPr="003C52D8">
              <w:rPr>
                <w:rFonts w:eastAsia="標楷體" w:hint="eastAsia"/>
                <w:u w:val="single"/>
              </w:rPr>
              <w:t>空軍氣象聯隊或符合交通部中央氣象局設站品管要求之自設或其他單位設置之氣象站。</w:t>
            </w:r>
          </w:p>
          <w:p w:rsidR="00E05BD6" w:rsidRPr="00812606" w:rsidRDefault="00E05BD6" w:rsidP="003F683B">
            <w:pPr>
              <w:ind w:leftChars="150" w:left="1080" w:hangingChars="300" w:hanging="720"/>
              <w:jc w:val="both"/>
              <w:rPr>
                <w:rFonts w:eastAsia="標楷體"/>
                <w:u w:val="single"/>
              </w:rPr>
            </w:pPr>
            <w:r w:rsidRPr="00812606">
              <w:rPr>
                <w:rFonts w:eastAsia="標楷體" w:hint="eastAsia"/>
                <w:u w:val="single"/>
              </w:rPr>
              <w:t>（二）背景濃度資料：</w:t>
            </w:r>
          </w:p>
          <w:p w:rsidR="00E05BD6" w:rsidRPr="00812606" w:rsidRDefault="00E05BD6" w:rsidP="003F683B">
            <w:pPr>
              <w:ind w:leftChars="200" w:left="720" w:hangingChars="100" w:hanging="240"/>
              <w:jc w:val="both"/>
              <w:rPr>
                <w:rFonts w:eastAsia="標楷體"/>
                <w:u w:val="single"/>
              </w:rPr>
            </w:pPr>
            <w:r w:rsidRPr="00812606">
              <w:rPr>
                <w:rFonts w:eastAsia="標楷體"/>
                <w:u w:val="single"/>
              </w:rPr>
              <w:t>1</w:t>
            </w:r>
            <w:r w:rsidRPr="00812606">
              <w:rPr>
                <w:rFonts w:eastAsia="標楷體" w:hint="eastAsia"/>
                <w:u w:val="single"/>
              </w:rPr>
              <w:t>、行政院環境保護署空氣品質監測站。</w:t>
            </w:r>
          </w:p>
          <w:p w:rsidR="00E05BD6" w:rsidRPr="00812606" w:rsidRDefault="00E05BD6" w:rsidP="003F683B">
            <w:pPr>
              <w:ind w:leftChars="200" w:left="720" w:hangingChars="100" w:hanging="240"/>
              <w:jc w:val="both"/>
              <w:rPr>
                <w:rFonts w:eastAsia="標楷體"/>
                <w:u w:val="single"/>
              </w:rPr>
            </w:pPr>
            <w:r w:rsidRPr="00812606">
              <w:rPr>
                <w:rFonts w:eastAsia="標楷體"/>
                <w:u w:val="single"/>
              </w:rPr>
              <w:t>2</w:t>
            </w:r>
            <w:r w:rsidRPr="00812606">
              <w:rPr>
                <w:rFonts w:eastAsia="標楷體" w:hint="eastAsia"/>
                <w:u w:val="single"/>
              </w:rPr>
              <w:t>、直轄市、縣</w:t>
            </w:r>
            <w:r>
              <w:rPr>
                <w:rFonts w:eastAsia="標楷體" w:hint="eastAsia"/>
                <w:u w:val="single"/>
              </w:rPr>
              <w:t>（</w:t>
            </w:r>
            <w:r w:rsidRPr="00812606">
              <w:rPr>
                <w:rFonts w:eastAsia="標楷體" w:hint="eastAsia"/>
                <w:u w:val="single"/>
              </w:rPr>
              <w:t>市</w:t>
            </w:r>
            <w:r>
              <w:rPr>
                <w:rFonts w:eastAsia="標楷體" w:hint="eastAsia"/>
                <w:u w:val="single"/>
              </w:rPr>
              <w:t>）</w:t>
            </w:r>
            <w:r w:rsidRPr="00812606">
              <w:rPr>
                <w:rFonts w:eastAsia="標楷體" w:hint="eastAsia"/>
                <w:u w:val="single"/>
              </w:rPr>
              <w:t>政府設立之空氣品質監測站。</w:t>
            </w:r>
          </w:p>
          <w:p w:rsidR="00E05BD6" w:rsidRPr="00812606" w:rsidRDefault="00E05BD6" w:rsidP="003F683B">
            <w:pPr>
              <w:ind w:leftChars="200" w:left="720" w:hangingChars="100" w:hanging="240"/>
              <w:jc w:val="both"/>
              <w:rPr>
                <w:rFonts w:eastAsia="標楷體"/>
                <w:u w:val="single"/>
              </w:rPr>
            </w:pPr>
            <w:r w:rsidRPr="00812606">
              <w:rPr>
                <w:rFonts w:eastAsia="標楷體"/>
                <w:u w:val="single"/>
              </w:rPr>
              <w:t>3</w:t>
            </w:r>
            <w:r w:rsidRPr="00812606">
              <w:rPr>
                <w:rFonts w:eastAsia="標楷體" w:hint="eastAsia"/>
                <w:u w:val="single"/>
              </w:rPr>
              <w:t>、自設或其他單位設置之空氣品質監測站。</w:t>
            </w:r>
          </w:p>
          <w:p w:rsidR="00E05BD6" w:rsidRPr="00812606" w:rsidRDefault="00E05BD6" w:rsidP="003F683B">
            <w:pPr>
              <w:ind w:leftChars="150" w:left="1080" w:hangingChars="300" w:hanging="720"/>
              <w:jc w:val="both"/>
              <w:rPr>
                <w:rFonts w:eastAsia="標楷體"/>
                <w:u w:val="single"/>
              </w:rPr>
            </w:pPr>
            <w:r w:rsidRPr="00812606">
              <w:rPr>
                <w:rFonts w:eastAsia="標楷體" w:hint="eastAsia"/>
                <w:u w:val="single"/>
              </w:rPr>
              <w:t>（三）背景排放量資料：依附錄二、三規定自行計算。</w:t>
            </w:r>
          </w:p>
          <w:p w:rsidR="00E05BD6" w:rsidRPr="003C52D8" w:rsidRDefault="00E05BD6" w:rsidP="003F683B">
            <w:pPr>
              <w:ind w:leftChars="150" w:left="1080" w:hangingChars="300" w:hanging="720"/>
              <w:jc w:val="both"/>
              <w:rPr>
                <w:rFonts w:eastAsia="標楷體"/>
              </w:rPr>
            </w:pPr>
            <w:r w:rsidRPr="00812606">
              <w:rPr>
                <w:rFonts w:eastAsia="標楷體" w:hint="eastAsia"/>
                <w:u w:val="single"/>
              </w:rPr>
              <w:t>（四）模擬案例日：依附錄二、三規定自行篩選。</w:t>
            </w:r>
          </w:p>
        </w:tc>
        <w:tc>
          <w:tcPr>
            <w:tcW w:w="3124" w:type="dxa"/>
          </w:tcPr>
          <w:p w:rsidR="00E05BD6" w:rsidRDefault="00E05BD6" w:rsidP="000903D7">
            <w:pPr>
              <w:numPr>
                <w:ilvl w:val="0"/>
                <w:numId w:val="8"/>
              </w:numPr>
              <w:tabs>
                <w:tab w:val="clear" w:pos="960"/>
                <w:tab w:val="num" w:pos="477"/>
              </w:tabs>
              <w:ind w:left="477"/>
              <w:jc w:val="both"/>
              <w:rPr>
                <w:rFonts w:eastAsia="標楷體"/>
              </w:rPr>
            </w:pPr>
            <w:r w:rsidRPr="00F360DD">
              <w:rPr>
                <w:rFonts w:eastAsia="標楷體" w:hint="eastAsia"/>
              </w:rPr>
              <w:t>模擬期程為模擬之數量，非模式技術層次，不適合設定於技術文件或附錄使用規範，故</w:t>
            </w:r>
            <w:r>
              <w:rPr>
                <w:rFonts w:eastAsia="標楷體" w:hint="eastAsia"/>
              </w:rPr>
              <w:t>增</w:t>
            </w:r>
            <w:r w:rsidRPr="00F360DD">
              <w:rPr>
                <w:rFonts w:eastAsia="標楷體" w:hint="eastAsia"/>
              </w:rPr>
              <w:t>訂附表一。高斯類擴散模式於模擬時為避免所選年份氣象條件不夠客觀，且與空氣品質背景值計算年份一致，高斯類擴散模式之模擬期程改為三年。</w:t>
            </w:r>
          </w:p>
          <w:p w:rsidR="00E05BD6" w:rsidRDefault="00E05BD6" w:rsidP="00EB11D8">
            <w:pPr>
              <w:numPr>
                <w:ilvl w:val="0"/>
                <w:numId w:val="8"/>
              </w:numPr>
              <w:tabs>
                <w:tab w:val="clear" w:pos="960"/>
                <w:tab w:val="num" w:pos="477"/>
              </w:tabs>
              <w:ind w:left="477"/>
              <w:jc w:val="both"/>
              <w:rPr>
                <w:rFonts w:eastAsia="標楷體"/>
              </w:rPr>
            </w:pPr>
            <w:r w:rsidRPr="00F360DD">
              <w:rPr>
                <w:rFonts w:eastAsia="標楷體" w:hint="eastAsia"/>
              </w:rPr>
              <w:t>因設置單位不同，故將空軍氣象聯隊與自設或其他單位設置之氣象站分開依序條列。</w:t>
            </w:r>
          </w:p>
          <w:p w:rsidR="00E05BD6" w:rsidRPr="00F360DD" w:rsidRDefault="00E05BD6" w:rsidP="00EB11D8">
            <w:pPr>
              <w:numPr>
                <w:ilvl w:val="0"/>
                <w:numId w:val="8"/>
              </w:numPr>
              <w:tabs>
                <w:tab w:val="clear" w:pos="960"/>
                <w:tab w:val="num" w:pos="477"/>
              </w:tabs>
              <w:ind w:left="477"/>
              <w:jc w:val="both"/>
              <w:rPr>
                <w:rFonts w:eastAsia="標楷體"/>
              </w:rPr>
            </w:pPr>
            <w:r w:rsidRPr="00F360DD">
              <w:rPr>
                <w:rFonts w:eastAsia="標楷體" w:hint="eastAsia"/>
              </w:rPr>
              <w:t>允許使用國際氣象組織之資料進行氣象資料之製作，以補充國內高空資料之不足。</w:t>
            </w:r>
          </w:p>
          <w:p w:rsidR="00E05BD6" w:rsidRPr="00F360DD" w:rsidRDefault="00E05BD6" w:rsidP="00AD1B0E">
            <w:pPr>
              <w:ind w:left="180" w:hangingChars="75" w:hanging="180"/>
              <w:rPr>
                <w:rFonts w:eastAsia="標楷體"/>
              </w:rPr>
            </w:pPr>
          </w:p>
        </w:tc>
      </w:tr>
      <w:tr w:rsidR="00E05BD6" w:rsidRPr="003C52D8" w:rsidTr="0008258D">
        <w:trPr>
          <w:trHeight w:val="4575"/>
          <w:jc w:val="center"/>
        </w:trPr>
        <w:tc>
          <w:tcPr>
            <w:tcW w:w="3124" w:type="dxa"/>
          </w:tcPr>
          <w:p w:rsidR="00E05BD6" w:rsidRPr="00224827" w:rsidRDefault="00E05BD6" w:rsidP="00384000">
            <w:pPr>
              <w:ind w:left="480" w:hangingChars="200" w:hanging="480"/>
              <w:jc w:val="both"/>
              <w:rPr>
                <w:rFonts w:eastAsia="標楷體"/>
                <w:color w:val="0070C0"/>
                <w:u w:val="single"/>
              </w:rPr>
            </w:pPr>
            <w:r w:rsidRPr="003C52D8">
              <w:rPr>
                <w:rFonts w:eastAsia="標楷體"/>
              </w:rPr>
              <w:br w:type="page"/>
            </w:r>
            <w:r w:rsidRPr="003C52D8">
              <w:rPr>
                <w:rFonts w:eastAsia="標楷體" w:hint="eastAsia"/>
              </w:rPr>
              <w:t>八、固定污染源各類污染物排放率應以小時最大產能操作條件下之排放量計算；年平均值模擬所使用之排放率得以最大年產能之排放量除以全年操作時數為之。</w:t>
            </w:r>
          </w:p>
          <w:p w:rsidR="00E05BD6" w:rsidRPr="00224827" w:rsidRDefault="00E05BD6" w:rsidP="00384000">
            <w:pPr>
              <w:ind w:leftChars="200" w:left="480"/>
              <w:jc w:val="both"/>
              <w:rPr>
                <w:rFonts w:eastAsia="標楷體"/>
                <w:color w:val="0070C0"/>
                <w:u w:val="single"/>
              </w:rPr>
            </w:pPr>
          </w:p>
          <w:p w:rsidR="00E05BD6" w:rsidRPr="003C52D8" w:rsidRDefault="00E05BD6" w:rsidP="00384000">
            <w:pPr>
              <w:ind w:leftChars="130" w:left="312"/>
              <w:jc w:val="both"/>
              <w:rPr>
                <w:rFonts w:eastAsia="標楷體"/>
                <w:u w:val="single"/>
              </w:rPr>
            </w:pPr>
          </w:p>
          <w:p w:rsidR="00E05BD6" w:rsidRPr="003C52D8" w:rsidRDefault="00E05BD6" w:rsidP="00384000">
            <w:pPr>
              <w:ind w:leftChars="130" w:left="312"/>
              <w:jc w:val="both"/>
              <w:rPr>
                <w:rFonts w:eastAsia="標楷體"/>
                <w:dstrike/>
                <w:highlight w:val="cyan"/>
                <w:u w:val="single"/>
              </w:rPr>
            </w:pPr>
          </w:p>
        </w:tc>
        <w:tc>
          <w:tcPr>
            <w:tcW w:w="3124" w:type="dxa"/>
          </w:tcPr>
          <w:p w:rsidR="00E05BD6" w:rsidRPr="003C52D8" w:rsidRDefault="00E05BD6" w:rsidP="00384000">
            <w:pPr>
              <w:ind w:left="480" w:hangingChars="200" w:hanging="480"/>
              <w:jc w:val="both"/>
              <w:rPr>
                <w:rFonts w:eastAsia="標楷體"/>
                <w:u w:val="single"/>
              </w:rPr>
            </w:pPr>
            <w:r w:rsidRPr="003C52D8">
              <w:rPr>
                <w:rFonts w:eastAsia="標楷體" w:hint="eastAsia"/>
              </w:rPr>
              <w:t>八、固定污染源各類污染物排放率應以小時最大產能操作條件下之排放量計算；年平均值模擬所使用之排放率得以最大年產能之排放量除以全年操作時數為之。</w:t>
            </w:r>
            <w:r w:rsidRPr="003C52D8">
              <w:rPr>
                <w:rFonts w:eastAsia="標楷體" w:hint="eastAsia"/>
                <w:u w:val="single"/>
              </w:rPr>
              <w:t>同一公私場所新增或變更固定污染源，得扣除其替代之既存固定污染源所減少之排放量，以增加之排放量作為模式模擬之排放量計算。</w:t>
            </w:r>
          </w:p>
          <w:p w:rsidR="00E05BD6" w:rsidRPr="003C52D8" w:rsidRDefault="00E05BD6" w:rsidP="00384000">
            <w:pPr>
              <w:ind w:leftChars="200" w:left="480"/>
              <w:jc w:val="both"/>
              <w:rPr>
                <w:rFonts w:eastAsia="標楷體"/>
              </w:rPr>
            </w:pPr>
            <w:r w:rsidRPr="003C52D8">
              <w:rPr>
                <w:rFonts w:eastAsia="標楷體" w:hint="eastAsia"/>
                <w:u w:val="single"/>
              </w:rPr>
              <w:t>各類模式之模擬結果，依各類型模式使用規範附錄一至三之規定，其模擬時程為一年時，以一年模擬之平均增量表示其年平均值增量，以日平均值及小時值第八大值分別表示其最大值之增量；其模擬期程為案例日時，以所有案例日之平均值增量代表其年平均值增量，以時間配對之小時及日最大值增量，分別代表其小時及日平均值之最大增量。</w:t>
            </w:r>
          </w:p>
        </w:tc>
        <w:tc>
          <w:tcPr>
            <w:tcW w:w="3124" w:type="dxa"/>
          </w:tcPr>
          <w:p w:rsidR="00E05BD6" w:rsidRDefault="00E05BD6" w:rsidP="008F7156">
            <w:pPr>
              <w:numPr>
                <w:ilvl w:val="0"/>
                <w:numId w:val="12"/>
              </w:numPr>
              <w:tabs>
                <w:tab w:val="clear" w:pos="960"/>
                <w:tab w:val="num" w:pos="477"/>
              </w:tabs>
              <w:ind w:left="477"/>
              <w:jc w:val="both"/>
              <w:rPr>
                <w:rFonts w:eastAsia="標楷體"/>
              </w:rPr>
            </w:pPr>
            <w:r>
              <w:rPr>
                <w:rFonts w:eastAsia="標楷體" w:hint="eastAsia"/>
              </w:rPr>
              <w:t>明確說明公告事項主旨為排放率之計算方式。</w:t>
            </w:r>
          </w:p>
          <w:p w:rsidR="00E05BD6" w:rsidRPr="003C52D8" w:rsidRDefault="00E05BD6" w:rsidP="008F7156">
            <w:pPr>
              <w:numPr>
                <w:ilvl w:val="0"/>
                <w:numId w:val="12"/>
              </w:numPr>
              <w:tabs>
                <w:tab w:val="clear" w:pos="960"/>
                <w:tab w:val="num" w:pos="477"/>
              </w:tabs>
              <w:ind w:left="477"/>
              <w:jc w:val="both"/>
              <w:rPr>
                <w:rFonts w:eastAsia="標楷體"/>
              </w:rPr>
            </w:pPr>
            <w:r w:rsidRPr="003C52D8">
              <w:rPr>
                <w:rFonts w:eastAsia="標楷體" w:hint="eastAsia"/>
              </w:rPr>
              <w:t>原</w:t>
            </w:r>
            <w:r>
              <w:rPr>
                <w:rFonts w:eastAsia="標楷體" w:hint="eastAsia"/>
              </w:rPr>
              <w:t>公告事項</w:t>
            </w:r>
            <w:r w:rsidRPr="003C52D8">
              <w:rPr>
                <w:rFonts w:eastAsia="標楷體" w:hint="eastAsia"/>
              </w:rPr>
              <w:t>八第二項為說明模擬結果計算最大增量，考量兩者主題不同，故另新增</w:t>
            </w:r>
            <w:r>
              <w:rPr>
                <w:rFonts w:eastAsia="標楷體" w:hint="eastAsia"/>
              </w:rPr>
              <w:t>公告事項</w:t>
            </w:r>
            <w:r w:rsidRPr="003C52D8">
              <w:rPr>
                <w:rFonts w:eastAsia="標楷體" w:hint="eastAsia"/>
              </w:rPr>
              <w:t>九</w:t>
            </w:r>
            <w:r>
              <w:rPr>
                <w:rFonts w:eastAsia="標楷體" w:hint="eastAsia"/>
              </w:rPr>
              <w:t>及附錄四</w:t>
            </w:r>
            <w:r w:rsidRPr="003C52D8">
              <w:rPr>
                <w:rFonts w:eastAsia="標楷體" w:hint="eastAsia"/>
              </w:rPr>
              <w:t>，並將</w:t>
            </w:r>
            <w:r>
              <w:rPr>
                <w:rFonts w:eastAsia="標楷體" w:hint="eastAsia"/>
              </w:rPr>
              <w:t>公告事項八第</w:t>
            </w:r>
            <w:r w:rsidRPr="003C52D8">
              <w:rPr>
                <w:rFonts w:eastAsia="標楷體" w:hint="eastAsia"/>
              </w:rPr>
              <w:t>二項移至新增</w:t>
            </w:r>
            <w:r>
              <w:rPr>
                <w:rFonts w:eastAsia="標楷體" w:hint="eastAsia"/>
              </w:rPr>
              <w:t>公告事項九及附錄四</w:t>
            </w:r>
            <w:r w:rsidRPr="003C52D8">
              <w:rPr>
                <w:rFonts w:eastAsia="標楷體" w:hint="eastAsia"/>
              </w:rPr>
              <w:t>以區隔兩者。</w:t>
            </w:r>
          </w:p>
        </w:tc>
      </w:tr>
      <w:tr w:rsidR="00E05BD6" w:rsidRPr="003C52D8" w:rsidTr="00F25551">
        <w:trPr>
          <w:trHeight w:val="709"/>
          <w:jc w:val="center"/>
        </w:trPr>
        <w:tc>
          <w:tcPr>
            <w:tcW w:w="3124" w:type="dxa"/>
          </w:tcPr>
          <w:p w:rsidR="00E05BD6" w:rsidRPr="00BF7741" w:rsidRDefault="00E05BD6" w:rsidP="00E74A7B">
            <w:pPr>
              <w:ind w:left="480" w:hangingChars="200" w:hanging="480"/>
              <w:jc w:val="both"/>
              <w:rPr>
                <w:rFonts w:eastAsia="標楷體"/>
                <w:color w:val="FF0000"/>
              </w:rPr>
            </w:pPr>
            <w:r w:rsidRPr="00BF7741">
              <w:rPr>
                <w:rFonts w:eastAsia="標楷體" w:hint="eastAsia"/>
                <w:color w:val="FF0000"/>
              </w:rPr>
              <w:t>九、同一公私場所新增或變更固定污染源進行增量計算時，得扣除其替代之既存固定污染源所減少排放量之影響貢獻。</w:t>
            </w:r>
          </w:p>
          <w:p w:rsidR="00E05BD6" w:rsidRPr="007A78AD" w:rsidRDefault="00E05BD6" w:rsidP="008036A9">
            <w:pPr>
              <w:ind w:leftChars="200" w:left="480"/>
              <w:jc w:val="both"/>
              <w:rPr>
                <w:rFonts w:eastAsia="標楷體"/>
                <w:color w:val="FF0000"/>
                <w:u w:val="single"/>
              </w:rPr>
            </w:pPr>
          </w:p>
        </w:tc>
        <w:tc>
          <w:tcPr>
            <w:tcW w:w="3124" w:type="dxa"/>
          </w:tcPr>
          <w:p w:rsidR="00E05BD6" w:rsidRPr="003C52D8" w:rsidRDefault="00E05BD6" w:rsidP="00384000">
            <w:pPr>
              <w:ind w:left="480" w:hangingChars="200" w:hanging="480"/>
              <w:jc w:val="both"/>
              <w:rPr>
                <w:rFonts w:eastAsia="標楷體"/>
              </w:rPr>
            </w:pPr>
          </w:p>
        </w:tc>
        <w:tc>
          <w:tcPr>
            <w:tcW w:w="3124" w:type="dxa"/>
          </w:tcPr>
          <w:p w:rsidR="00E05BD6" w:rsidRPr="003C52D8" w:rsidRDefault="00E05BD6" w:rsidP="00631ABF">
            <w:pPr>
              <w:numPr>
                <w:ilvl w:val="0"/>
                <w:numId w:val="16"/>
              </w:numPr>
              <w:tabs>
                <w:tab w:val="clear" w:pos="960"/>
                <w:tab w:val="num" w:pos="477"/>
              </w:tabs>
              <w:ind w:left="477"/>
              <w:jc w:val="both"/>
              <w:rPr>
                <w:rFonts w:eastAsia="標楷體"/>
              </w:rPr>
            </w:pPr>
            <w:r w:rsidRPr="00794F69">
              <w:rPr>
                <w:rFonts w:eastAsia="標楷體" w:hint="eastAsia"/>
                <w:u w:val="single"/>
              </w:rPr>
              <w:t>本項新增</w:t>
            </w:r>
            <w:r w:rsidRPr="003C52D8">
              <w:rPr>
                <w:rFonts w:eastAsia="標楷體" w:hint="eastAsia"/>
              </w:rPr>
              <w:t>。</w:t>
            </w:r>
          </w:p>
          <w:p w:rsidR="00E05BD6" w:rsidRPr="003C52D8" w:rsidRDefault="00E05BD6" w:rsidP="00631ABF">
            <w:pPr>
              <w:numPr>
                <w:ilvl w:val="0"/>
                <w:numId w:val="16"/>
              </w:numPr>
              <w:tabs>
                <w:tab w:val="clear" w:pos="960"/>
                <w:tab w:val="num" w:pos="477"/>
              </w:tabs>
              <w:ind w:left="477"/>
              <w:jc w:val="both"/>
              <w:rPr>
                <w:rFonts w:eastAsia="標楷體"/>
              </w:rPr>
            </w:pPr>
            <w:r w:rsidRPr="003C52D8">
              <w:rPr>
                <w:rFonts w:eastAsia="標楷體" w:hint="eastAsia"/>
              </w:rPr>
              <w:t>同一公私場所新增或變更固定污染源，得扣除其替代之既存固定污染源所減少之排放量，以增加之排放量作為模式模擬之排放量計算。對於空氣品質的影響，僅考慮排放量單一因素，未考慮排放高</w:t>
            </w:r>
            <w:r>
              <w:rPr>
                <w:rFonts w:eastAsia="標楷體" w:hint="eastAsia"/>
              </w:rPr>
              <w:t>度、溫度、流速、位置等其他參數對空氣品質模擬的影響，故建議採用整體環境效益</w:t>
            </w:r>
            <w:r w:rsidRPr="003C52D8">
              <w:rPr>
                <w:rFonts w:eastAsia="標楷體" w:hint="eastAsia"/>
              </w:rPr>
              <w:t>之觀念，以變更前後增量相減所得之淨增量作為結果，而非使用淨排放量進行模擬。</w:t>
            </w:r>
          </w:p>
          <w:p w:rsidR="00E05BD6" w:rsidRPr="00A54517" w:rsidRDefault="00E05BD6" w:rsidP="00A54517">
            <w:pPr>
              <w:numPr>
                <w:ilvl w:val="0"/>
                <w:numId w:val="16"/>
              </w:numPr>
              <w:tabs>
                <w:tab w:val="clear" w:pos="960"/>
                <w:tab w:val="num" w:pos="477"/>
              </w:tabs>
              <w:ind w:left="477"/>
              <w:jc w:val="both"/>
              <w:rPr>
                <w:rFonts w:eastAsia="標楷體"/>
              </w:rPr>
            </w:pPr>
            <w:r w:rsidRPr="003C52D8">
              <w:rPr>
                <w:rFonts w:eastAsia="標楷體" w:hint="eastAsia"/>
                <w:shd w:val="clear" w:color="auto" w:fill="FFFFFF"/>
              </w:rPr>
              <w:t>本</w:t>
            </w:r>
            <w:r>
              <w:rPr>
                <w:rFonts w:eastAsia="標楷體" w:hint="eastAsia"/>
                <w:shd w:val="clear" w:color="auto" w:fill="FFFFFF"/>
              </w:rPr>
              <w:t>項所稱既存固定污染源之排放量應依既存固定污染源污染物排放量認可準則</w:t>
            </w:r>
            <w:r w:rsidRPr="003C52D8">
              <w:rPr>
                <w:rFonts w:eastAsia="標楷體" w:hint="eastAsia"/>
                <w:shd w:val="clear" w:color="auto" w:fill="FFFFFF"/>
              </w:rPr>
              <w:t>計算為之。</w:t>
            </w:r>
          </w:p>
        </w:tc>
      </w:tr>
      <w:tr w:rsidR="00E05BD6" w:rsidRPr="003C52D8" w:rsidTr="0008258D">
        <w:trPr>
          <w:trHeight w:val="5898"/>
          <w:jc w:val="center"/>
        </w:trPr>
        <w:tc>
          <w:tcPr>
            <w:tcW w:w="3124" w:type="dxa"/>
          </w:tcPr>
          <w:p w:rsidR="00E05BD6" w:rsidRPr="003C52D8" w:rsidRDefault="00E05BD6" w:rsidP="00384000">
            <w:pPr>
              <w:ind w:left="480" w:hangingChars="200" w:hanging="480"/>
              <w:jc w:val="both"/>
              <w:rPr>
                <w:rFonts w:eastAsia="標楷體"/>
              </w:rPr>
            </w:pPr>
            <w:r w:rsidRPr="003C52D8">
              <w:rPr>
                <w:rFonts w:eastAsia="標楷體" w:hint="eastAsia"/>
                <w:color w:val="FF0000"/>
                <w:u w:val="single"/>
              </w:rPr>
              <w:t>十</w:t>
            </w:r>
            <w:r w:rsidRPr="003C52D8">
              <w:rPr>
                <w:rFonts w:eastAsia="標楷體" w:hint="eastAsia"/>
              </w:rPr>
              <w:t>、公私場所於申請固定污染源之設置許可時，應檢具下列文件一併向當地主管機關或中央主管機關委託之政府其他機關提出辦理：</w:t>
            </w:r>
          </w:p>
          <w:p w:rsidR="00E05BD6" w:rsidRPr="003C52D8" w:rsidRDefault="00E05BD6" w:rsidP="00CC11C4">
            <w:pPr>
              <w:ind w:leftChars="150" w:left="1080" w:hangingChars="300" w:hanging="720"/>
              <w:jc w:val="both"/>
              <w:rPr>
                <w:rFonts w:eastAsia="標楷體"/>
              </w:rPr>
            </w:pPr>
            <w:r w:rsidRPr="003C52D8">
              <w:rPr>
                <w:rFonts w:eastAsia="標楷體" w:hint="eastAsia"/>
              </w:rPr>
              <w:t>（一）模擬範圍之地形圖影印本。</w:t>
            </w:r>
          </w:p>
          <w:p w:rsidR="00E05BD6" w:rsidRPr="003C52D8" w:rsidRDefault="00E05BD6" w:rsidP="00CC11C4">
            <w:pPr>
              <w:ind w:leftChars="150" w:left="1080" w:hangingChars="300" w:hanging="720"/>
              <w:jc w:val="both"/>
              <w:rPr>
                <w:rFonts w:eastAsia="標楷體"/>
              </w:rPr>
            </w:pPr>
            <w:r w:rsidRPr="003C52D8">
              <w:rPr>
                <w:rFonts w:eastAsia="標楷體" w:hint="eastAsia"/>
              </w:rPr>
              <w:t>（二）模式所需之固定污染源排放設施及排氣基本資料。</w:t>
            </w:r>
          </w:p>
          <w:p w:rsidR="00E05BD6" w:rsidRPr="003C52D8" w:rsidRDefault="00E05BD6" w:rsidP="00CC11C4">
            <w:pPr>
              <w:ind w:leftChars="150" w:left="1080" w:hangingChars="300" w:hanging="720"/>
              <w:jc w:val="both"/>
              <w:rPr>
                <w:rFonts w:eastAsia="標楷體"/>
              </w:rPr>
            </w:pPr>
            <w:r w:rsidRPr="003C52D8">
              <w:rPr>
                <w:rFonts w:eastAsia="標楷體" w:hint="eastAsia"/>
              </w:rPr>
              <w:t>（三）模式輸入參數說明文件及電腦檔。</w:t>
            </w:r>
          </w:p>
          <w:p w:rsidR="00E05BD6" w:rsidRPr="003C52D8" w:rsidRDefault="00E05BD6" w:rsidP="00CC11C4">
            <w:pPr>
              <w:ind w:leftChars="150" w:left="1080" w:hangingChars="300" w:hanging="720"/>
              <w:jc w:val="both"/>
              <w:rPr>
                <w:rFonts w:eastAsia="標楷體"/>
              </w:rPr>
            </w:pPr>
            <w:r w:rsidRPr="003C52D8">
              <w:rPr>
                <w:rFonts w:eastAsia="標楷體" w:hint="eastAsia"/>
              </w:rPr>
              <w:t>（四）模式輸出參數說明文件及電腦檔。</w:t>
            </w:r>
          </w:p>
          <w:p w:rsidR="00E05BD6" w:rsidRPr="003C52D8" w:rsidRDefault="00E05BD6" w:rsidP="00CC11C4">
            <w:pPr>
              <w:ind w:leftChars="150" w:left="1080" w:hangingChars="300" w:hanging="720"/>
              <w:jc w:val="both"/>
              <w:rPr>
                <w:rFonts w:eastAsia="標楷體"/>
                <w:color w:val="FF0000"/>
                <w:u w:val="single"/>
              </w:rPr>
            </w:pPr>
            <w:r w:rsidRPr="003C52D8">
              <w:rPr>
                <w:rFonts w:eastAsia="標楷體" w:hint="eastAsia"/>
                <w:color w:val="FF0000"/>
                <w:u w:val="single"/>
              </w:rPr>
              <w:t>（五）其他如附錄一至三應檢附之文件。</w:t>
            </w:r>
          </w:p>
          <w:p w:rsidR="00E05BD6" w:rsidRPr="003C52D8" w:rsidRDefault="00E05BD6" w:rsidP="00CC11C4">
            <w:pPr>
              <w:ind w:leftChars="150" w:left="1080" w:hangingChars="300" w:hanging="720"/>
              <w:jc w:val="both"/>
              <w:rPr>
                <w:rFonts w:eastAsia="標楷體"/>
                <w:color w:val="FF0000"/>
              </w:rPr>
            </w:pPr>
            <w:r w:rsidRPr="003C52D8">
              <w:rPr>
                <w:rFonts w:eastAsia="標楷體" w:hint="eastAsia"/>
                <w:color w:val="FF0000"/>
                <w:u w:val="single"/>
              </w:rPr>
              <w:t>（六）其他經主管機關指定之文件。</w:t>
            </w:r>
          </w:p>
        </w:tc>
        <w:tc>
          <w:tcPr>
            <w:tcW w:w="3124" w:type="dxa"/>
          </w:tcPr>
          <w:p w:rsidR="00E05BD6" w:rsidRPr="003C52D8" w:rsidRDefault="00E05BD6" w:rsidP="00384000">
            <w:pPr>
              <w:ind w:left="480" w:hangingChars="200" w:hanging="480"/>
              <w:jc w:val="both"/>
              <w:rPr>
                <w:rFonts w:eastAsia="標楷體"/>
              </w:rPr>
            </w:pPr>
            <w:r w:rsidRPr="003C52D8">
              <w:rPr>
                <w:rFonts w:eastAsia="標楷體" w:hint="eastAsia"/>
              </w:rPr>
              <w:t>九、公私場所於申請固定污染源之設置許可時，應檢具下列文件一併向當地主管機關或中央主管機關委託之政府其他機關提出辦理：</w:t>
            </w:r>
          </w:p>
          <w:p w:rsidR="00E05BD6" w:rsidRPr="003C52D8" w:rsidRDefault="00E05BD6" w:rsidP="00CC11C4">
            <w:pPr>
              <w:ind w:leftChars="150" w:left="1080" w:hangingChars="300" w:hanging="720"/>
              <w:jc w:val="both"/>
              <w:rPr>
                <w:rFonts w:eastAsia="標楷體"/>
              </w:rPr>
            </w:pPr>
            <w:r w:rsidRPr="003C52D8">
              <w:rPr>
                <w:rFonts w:eastAsia="標楷體" w:hint="eastAsia"/>
              </w:rPr>
              <w:t>（一）模擬範圍之地形圖影印本。</w:t>
            </w:r>
          </w:p>
          <w:p w:rsidR="00E05BD6" w:rsidRPr="003C52D8" w:rsidRDefault="00E05BD6" w:rsidP="00CC11C4">
            <w:pPr>
              <w:ind w:leftChars="150" w:left="1080" w:hangingChars="300" w:hanging="720"/>
              <w:jc w:val="both"/>
              <w:rPr>
                <w:rFonts w:eastAsia="標楷體"/>
              </w:rPr>
            </w:pPr>
            <w:r w:rsidRPr="003C52D8">
              <w:rPr>
                <w:rFonts w:eastAsia="標楷體" w:hint="eastAsia"/>
              </w:rPr>
              <w:t>（二）模式所需之固定污染源排放設施及排氣基本資料。</w:t>
            </w:r>
          </w:p>
          <w:p w:rsidR="00E05BD6" w:rsidRPr="003C52D8" w:rsidRDefault="00E05BD6" w:rsidP="00CC11C4">
            <w:pPr>
              <w:ind w:leftChars="150" w:left="1080" w:hangingChars="300" w:hanging="720"/>
              <w:jc w:val="both"/>
              <w:rPr>
                <w:rFonts w:eastAsia="標楷體"/>
              </w:rPr>
            </w:pPr>
            <w:r w:rsidRPr="003C52D8">
              <w:rPr>
                <w:rFonts w:eastAsia="標楷體" w:hint="eastAsia"/>
              </w:rPr>
              <w:t>（三）模式輸入參數說明文件及電腦檔。</w:t>
            </w:r>
          </w:p>
          <w:p w:rsidR="00E05BD6" w:rsidRPr="003C52D8" w:rsidRDefault="00E05BD6" w:rsidP="00CC11C4">
            <w:pPr>
              <w:ind w:leftChars="150" w:left="1080" w:hangingChars="300" w:hanging="720"/>
              <w:jc w:val="both"/>
              <w:rPr>
                <w:rFonts w:eastAsia="標楷體"/>
              </w:rPr>
            </w:pPr>
            <w:r w:rsidRPr="003C52D8">
              <w:rPr>
                <w:rFonts w:eastAsia="標楷體" w:hint="eastAsia"/>
              </w:rPr>
              <w:t>（四）模式輸出參數說明文件及電腦檔。</w:t>
            </w:r>
          </w:p>
        </w:tc>
        <w:tc>
          <w:tcPr>
            <w:tcW w:w="3124" w:type="dxa"/>
          </w:tcPr>
          <w:p w:rsidR="00E05BD6" w:rsidRPr="003C52D8" w:rsidRDefault="00E05BD6" w:rsidP="00A55C1A">
            <w:pPr>
              <w:numPr>
                <w:ilvl w:val="0"/>
                <w:numId w:val="20"/>
              </w:numPr>
              <w:tabs>
                <w:tab w:val="clear" w:pos="960"/>
                <w:tab w:val="num" w:pos="477"/>
              </w:tabs>
              <w:ind w:left="477"/>
              <w:jc w:val="both"/>
              <w:rPr>
                <w:rFonts w:eastAsia="標楷體"/>
              </w:rPr>
            </w:pPr>
            <w:r>
              <w:rPr>
                <w:rFonts w:eastAsia="標楷體" w:hint="eastAsia"/>
              </w:rPr>
              <w:t>項</w:t>
            </w:r>
            <w:r w:rsidRPr="003C52D8">
              <w:rPr>
                <w:rFonts w:eastAsia="標楷體" w:hint="eastAsia"/>
              </w:rPr>
              <w:t>次變更。</w:t>
            </w:r>
          </w:p>
          <w:p w:rsidR="00E05BD6" w:rsidRPr="003C52D8" w:rsidRDefault="00E05BD6" w:rsidP="00A55C1A">
            <w:pPr>
              <w:numPr>
                <w:ilvl w:val="0"/>
                <w:numId w:val="20"/>
              </w:numPr>
              <w:tabs>
                <w:tab w:val="clear" w:pos="960"/>
                <w:tab w:val="num" w:pos="477"/>
              </w:tabs>
              <w:ind w:left="477"/>
              <w:rPr>
                <w:rFonts w:eastAsia="標楷體"/>
              </w:rPr>
            </w:pPr>
            <w:r w:rsidRPr="003C52D8">
              <w:rPr>
                <w:rFonts w:eastAsia="標楷體" w:hint="eastAsia"/>
              </w:rPr>
              <w:t>如使用模式進行模擬評估，須檢附查驗清單、附錄一至三所列之文件或主管機關所指定之文件。</w:t>
            </w:r>
          </w:p>
        </w:tc>
      </w:tr>
      <w:tr w:rsidR="00E05BD6" w:rsidRPr="003C52D8" w:rsidTr="0008258D">
        <w:trPr>
          <w:jc w:val="center"/>
        </w:trPr>
        <w:tc>
          <w:tcPr>
            <w:tcW w:w="3124" w:type="dxa"/>
          </w:tcPr>
          <w:p w:rsidR="00E05BD6" w:rsidRPr="003C52D8" w:rsidRDefault="00E05BD6" w:rsidP="00384000">
            <w:pPr>
              <w:ind w:leftChars="9" w:left="382" w:hangingChars="150" w:hanging="360"/>
              <w:jc w:val="both"/>
              <w:rPr>
                <w:rFonts w:eastAsia="標楷體"/>
                <w:strike/>
                <w:u w:val="single"/>
              </w:rPr>
            </w:pPr>
          </w:p>
        </w:tc>
        <w:tc>
          <w:tcPr>
            <w:tcW w:w="3124" w:type="dxa"/>
          </w:tcPr>
          <w:p w:rsidR="00E05BD6" w:rsidRPr="003C52D8" w:rsidRDefault="00E05BD6" w:rsidP="00384000">
            <w:pPr>
              <w:ind w:left="480" w:hangingChars="200" w:hanging="480"/>
              <w:jc w:val="both"/>
              <w:rPr>
                <w:rFonts w:eastAsia="標楷體"/>
                <w:u w:val="single"/>
              </w:rPr>
            </w:pPr>
            <w:r w:rsidRPr="003C52D8">
              <w:rPr>
                <w:rFonts w:eastAsia="標楷體" w:hint="eastAsia"/>
                <w:u w:val="single"/>
              </w:rPr>
              <w:t>十、已完成環境影響評估審查之固定污染源，其模擬條件、狀況皆符合本規範規定者，於申請新</w:t>
            </w:r>
            <w:r w:rsidRPr="00CC11C4">
              <w:rPr>
                <w:rFonts w:eastAsia="標楷體" w:hint="eastAsia"/>
                <w:u w:val="single"/>
              </w:rPr>
              <w:t>增（設）</w:t>
            </w:r>
            <w:r w:rsidRPr="003C52D8">
              <w:rPr>
                <w:rFonts w:eastAsia="標楷體" w:hint="eastAsia"/>
                <w:u w:val="single"/>
              </w:rPr>
              <w:t>或變更固定污染源時，免予重複進行相同之模式模擬。</w:t>
            </w:r>
          </w:p>
        </w:tc>
        <w:tc>
          <w:tcPr>
            <w:tcW w:w="3124" w:type="dxa"/>
          </w:tcPr>
          <w:p w:rsidR="00E05BD6" w:rsidRPr="00280540" w:rsidRDefault="00E05BD6" w:rsidP="00967510">
            <w:pPr>
              <w:numPr>
                <w:ilvl w:val="1"/>
                <w:numId w:val="20"/>
              </w:numPr>
              <w:tabs>
                <w:tab w:val="clear" w:pos="960"/>
                <w:tab w:val="num" w:pos="477"/>
              </w:tabs>
              <w:ind w:left="477"/>
              <w:rPr>
                <w:rFonts w:eastAsia="標楷體"/>
                <w:u w:val="single"/>
              </w:rPr>
            </w:pPr>
            <w:r w:rsidRPr="00280540">
              <w:rPr>
                <w:rFonts w:eastAsia="標楷體" w:hint="eastAsia"/>
                <w:color w:val="000000"/>
                <w:u w:val="single"/>
              </w:rPr>
              <w:t>本</w:t>
            </w:r>
            <w:r>
              <w:rPr>
                <w:rFonts w:eastAsia="標楷體" w:hint="eastAsia"/>
                <w:color w:val="000000"/>
                <w:u w:val="single"/>
              </w:rPr>
              <w:t>項</w:t>
            </w:r>
            <w:r w:rsidRPr="00280540">
              <w:rPr>
                <w:rFonts w:eastAsia="標楷體" w:hint="eastAsia"/>
                <w:color w:val="000000"/>
                <w:u w:val="single"/>
              </w:rPr>
              <w:t>刪除</w:t>
            </w:r>
            <w:r w:rsidRPr="00794F69">
              <w:rPr>
                <w:rFonts w:eastAsia="標楷體" w:hint="eastAsia"/>
                <w:color w:val="000000"/>
              </w:rPr>
              <w:t>。</w:t>
            </w:r>
          </w:p>
          <w:p w:rsidR="00E05BD6" w:rsidRPr="003C52D8" w:rsidRDefault="00E05BD6" w:rsidP="00CC11C4">
            <w:pPr>
              <w:numPr>
                <w:ilvl w:val="1"/>
                <w:numId w:val="20"/>
              </w:numPr>
              <w:tabs>
                <w:tab w:val="clear" w:pos="960"/>
                <w:tab w:val="num" w:pos="477"/>
              </w:tabs>
              <w:ind w:left="477"/>
              <w:rPr>
                <w:rFonts w:eastAsia="標楷體"/>
              </w:rPr>
            </w:pPr>
            <w:r>
              <w:rPr>
                <w:rFonts w:eastAsia="標楷體" w:hint="eastAsia"/>
              </w:rPr>
              <w:t>本項配合原固定污染源設置與操作許可證管理辦法</w:t>
            </w:r>
            <w:r w:rsidRPr="003C52D8">
              <w:rPr>
                <w:rFonts w:eastAsia="標楷體" w:hint="eastAsia"/>
              </w:rPr>
              <w:t>第九條第一項內容</w:t>
            </w:r>
            <w:r>
              <w:rPr>
                <w:rFonts w:eastAsia="標楷體" w:hint="eastAsia"/>
              </w:rPr>
              <w:t>規定</w:t>
            </w:r>
            <w:r w:rsidRPr="003C52D8">
              <w:rPr>
                <w:rFonts w:eastAsia="標楷體" w:hint="eastAsia"/>
              </w:rPr>
              <w:t>，惟該條文已於</w:t>
            </w:r>
            <w:r>
              <w:rPr>
                <w:rFonts w:eastAsia="標楷體" w:hint="eastAsia"/>
              </w:rPr>
              <w:t>九十六</w:t>
            </w:r>
            <w:r w:rsidRPr="003C52D8">
              <w:rPr>
                <w:rFonts w:eastAsia="標楷體" w:hint="eastAsia"/>
              </w:rPr>
              <w:t>年</w:t>
            </w:r>
            <w:r>
              <w:rPr>
                <w:rFonts w:eastAsia="標楷體" w:hint="eastAsia"/>
              </w:rPr>
              <w:t>十一</w:t>
            </w:r>
            <w:r w:rsidRPr="003C52D8">
              <w:rPr>
                <w:rFonts w:eastAsia="標楷體" w:hint="eastAsia"/>
              </w:rPr>
              <w:t>月</w:t>
            </w:r>
            <w:r>
              <w:rPr>
                <w:rFonts w:eastAsia="標楷體" w:hint="eastAsia"/>
              </w:rPr>
              <w:t>二十一</w:t>
            </w:r>
            <w:r w:rsidRPr="003C52D8">
              <w:rPr>
                <w:rFonts w:eastAsia="標楷體" w:hint="eastAsia"/>
              </w:rPr>
              <w:t>日刪修，為求一致性，故此處亦比照刪除。</w:t>
            </w:r>
          </w:p>
        </w:tc>
      </w:tr>
      <w:tr w:rsidR="00E05BD6" w:rsidRPr="003C52D8" w:rsidTr="0008258D">
        <w:trPr>
          <w:jc w:val="center"/>
        </w:trPr>
        <w:tc>
          <w:tcPr>
            <w:tcW w:w="3124" w:type="dxa"/>
          </w:tcPr>
          <w:p w:rsidR="00E05BD6" w:rsidRPr="003C52D8" w:rsidRDefault="00E05BD6" w:rsidP="00384000">
            <w:pPr>
              <w:ind w:leftChars="9" w:left="382" w:hangingChars="150" w:hanging="360"/>
              <w:jc w:val="both"/>
              <w:rPr>
                <w:rFonts w:eastAsia="標楷體"/>
                <w:strike/>
                <w:u w:val="single"/>
              </w:rPr>
            </w:pPr>
          </w:p>
        </w:tc>
        <w:tc>
          <w:tcPr>
            <w:tcW w:w="3124" w:type="dxa"/>
          </w:tcPr>
          <w:p w:rsidR="00E05BD6" w:rsidRPr="00CA4A9A" w:rsidRDefault="00E05BD6" w:rsidP="00CC11C4">
            <w:pPr>
              <w:ind w:left="480" w:hangingChars="200" w:hanging="480"/>
              <w:jc w:val="both"/>
              <w:rPr>
                <w:rFonts w:eastAsia="標楷體"/>
              </w:rPr>
            </w:pPr>
            <w:r w:rsidRPr="00CA4A9A">
              <w:rPr>
                <w:rFonts w:eastAsia="標楷體" w:hint="eastAsia"/>
              </w:rPr>
              <w:t>十一、本公告自九十三年一月一日起實施，本署九十一年十一月十一日環署空字第○九一○○七八七六三號公告「空氣品質模式模擬規範」適用至九十二年十二月三十一日止。</w:t>
            </w:r>
          </w:p>
        </w:tc>
        <w:tc>
          <w:tcPr>
            <w:tcW w:w="3124" w:type="dxa"/>
          </w:tcPr>
          <w:p w:rsidR="00E05BD6" w:rsidRDefault="00E05BD6" w:rsidP="00794F69">
            <w:pPr>
              <w:numPr>
                <w:ilvl w:val="0"/>
                <w:numId w:val="29"/>
              </w:numPr>
              <w:tabs>
                <w:tab w:val="clear" w:pos="960"/>
                <w:tab w:val="num" w:pos="477"/>
              </w:tabs>
              <w:ind w:left="477"/>
              <w:rPr>
                <w:rFonts w:eastAsia="標楷體"/>
                <w:color w:val="000000"/>
                <w:u w:val="single"/>
              </w:rPr>
            </w:pPr>
            <w:r w:rsidRPr="00CC11C4">
              <w:rPr>
                <w:rFonts w:eastAsia="標楷體" w:hint="eastAsia"/>
                <w:color w:val="000000"/>
                <w:u w:val="single"/>
              </w:rPr>
              <w:t>本項刪除</w:t>
            </w:r>
            <w:r w:rsidRPr="00794F69">
              <w:rPr>
                <w:rFonts w:eastAsia="標楷體" w:hint="eastAsia"/>
                <w:color w:val="000000"/>
              </w:rPr>
              <w:t>。</w:t>
            </w:r>
          </w:p>
          <w:p w:rsidR="00E05BD6" w:rsidRPr="00CA4A9A" w:rsidRDefault="00E05BD6" w:rsidP="00794F69">
            <w:pPr>
              <w:numPr>
                <w:ilvl w:val="0"/>
                <w:numId w:val="29"/>
              </w:numPr>
              <w:tabs>
                <w:tab w:val="clear" w:pos="960"/>
                <w:tab w:val="num" w:pos="477"/>
              </w:tabs>
              <w:ind w:left="477"/>
              <w:rPr>
                <w:rFonts w:eastAsia="標楷體"/>
                <w:color w:val="000000"/>
              </w:rPr>
            </w:pPr>
            <w:r w:rsidRPr="00CA4A9A">
              <w:rPr>
                <w:rFonts w:eastAsia="標楷體" w:hint="eastAsia"/>
                <w:color w:val="000000"/>
              </w:rPr>
              <w:t>配合現行法制作業體例，原予刪除。</w:t>
            </w:r>
          </w:p>
          <w:p w:rsidR="00E05BD6" w:rsidRPr="00CC11C4" w:rsidRDefault="00E05BD6" w:rsidP="00794F69">
            <w:pPr>
              <w:rPr>
                <w:rFonts w:eastAsia="標楷體"/>
                <w:color w:val="000000"/>
                <w:u w:val="single"/>
              </w:rPr>
            </w:pPr>
          </w:p>
        </w:tc>
      </w:tr>
    </w:tbl>
    <w:p w:rsidR="00E05BD6" w:rsidRDefault="00E05BD6" w:rsidP="007E00E6">
      <w:pPr>
        <w:rPr>
          <w:rFonts w:eastAsia="標楷體"/>
          <w:color w:val="FF0000"/>
          <w:sz w:val="26"/>
          <w:szCs w:val="26"/>
          <w:u w:val="single"/>
        </w:rPr>
      </w:pPr>
    </w:p>
    <w:p w:rsidR="00E05BD6" w:rsidRPr="00CC11C4" w:rsidRDefault="00E05BD6" w:rsidP="007E00E6">
      <w:pPr>
        <w:rPr>
          <w:rFonts w:eastAsia="標楷體"/>
          <w:color w:val="FF0000"/>
          <w:sz w:val="26"/>
          <w:szCs w:val="26"/>
        </w:rPr>
      </w:pPr>
      <w:r w:rsidRPr="00CC11C4">
        <w:rPr>
          <w:rFonts w:eastAsia="標楷體"/>
          <w:color w:val="FF0000"/>
          <w:sz w:val="26"/>
          <w:szCs w:val="26"/>
        </w:rPr>
        <w:br w:type="page"/>
      </w:r>
    </w:p>
    <w:p w:rsidR="00E05BD6" w:rsidRDefault="00E05BD6" w:rsidP="001F5861">
      <w:r w:rsidRPr="00540A12">
        <w:rPr>
          <w:rFonts w:ascii="標楷體" w:eastAsia="標楷體" w:hAnsi="標楷體" w:hint="eastAsia"/>
        </w:rPr>
        <w:t>公告事項七附表一</w:t>
      </w:r>
    </w:p>
    <w:tbl>
      <w:tblPr>
        <w:tblpPr w:leftFromText="180" w:rightFromText="180" w:vertAnchor="page" w:horzAnchor="margin" w:tblpY="2357"/>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3"/>
        <w:gridCol w:w="1215"/>
        <w:gridCol w:w="3124"/>
      </w:tblGrid>
      <w:tr w:rsidR="00E05BD6" w:rsidRPr="00F360DD" w:rsidTr="00540A12">
        <w:tc>
          <w:tcPr>
            <w:tcW w:w="5033" w:type="dxa"/>
          </w:tcPr>
          <w:p w:rsidR="00E05BD6" w:rsidRPr="00DC3BE3" w:rsidRDefault="00E05BD6" w:rsidP="00540A12">
            <w:pPr>
              <w:snapToGrid w:val="0"/>
              <w:jc w:val="center"/>
              <w:rPr>
                <w:rFonts w:eastAsia="標楷體"/>
                <w:color w:val="FF0000"/>
              </w:rPr>
            </w:pPr>
            <w:r w:rsidRPr="00DC3BE3">
              <w:rPr>
                <w:rFonts w:eastAsia="標楷體" w:hint="eastAsia"/>
                <w:color w:val="FF0000"/>
              </w:rPr>
              <w:t>修正規定</w:t>
            </w:r>
          </w:p>
        </w:tc>
        <w:tc>
          <w:tcPr>
            <w:tcW w:w="1215" w:type="dxa"/>
          </w:tcPr>
          <w:p w:rsidR="00E05BD6" w:rsidRPr="003C52D8" w:rsidRDefault="00E05BD6" w:rsidP="00540A12">
            <w:pPr>
              <w:ind w:left="480" w:hangingChars="200" w:hanging="480"/>
              <w:jc w:val="both"/>
              <w:rPr>
                <w:rFonts w:eastAsia="標楷體"/>
              </w:rPr>
            </w:pPr>
            <w:r w:rsidRPr="003C52D8">
              <w:rPr>
                <w:rFonts w:eastAsia="標楷體" w:hint="eastAsia"/>
              </w:rPr>
              <w:t>現行</w:t>
            </w:r>
            <w:r>
              <w:rPr>
                <w:rFonts w:eastAsia="標楷體" w:hint="eastAsia"/>
              </w:rPr>
              <w:t>規定</w:t>
            </w:r>
          </w:p>
        </w:tc>
        <w:tc>
          <w:tcPr>
            <w:tcW w:w="3124" w:type="dxa"/>
          </w:tcPr>
          <w:p w:rsidR="00E05BD6" w:rsidRPr="00754008" w:rsidRDefault="00E05BD6" w:rsidP="00540A12">
            <w:pPr>
              <w:tabs>
                <w:tab w:val="num" w:pos="480"/>
              </w:tabs>
              <w:ind w:left="480" w:hanging="480"/>
              <w:jc w:val="both"/>
              <w:rPr>
                <w:rFonts w:eastAsia="標楷體"/>
                <w:color w:val="000000"/>
              </w:rPr>
            </w:pPr>
            <w:r w:rsidRPr="00754008">
              <w:rPr>
                <w:rFonts w:eastAsia="標楷體" w:hint="eastAsia"/>
                <w:color w:val="000000"/>
              </w:rPr>
              <w:t>說</w:t>
            </w:r>
            <w:r w:rsidRPr="00754008">
              <w:rPr>
                <w:rFonts w:eastAsia="標楷體"/>
                <w:color w:val="000000"/>
              </w:rPr>
              <w:t xml:space="preserve">  </w:t>
            </w:r>
            <w:r w:rsidRPr="00754008">
              <w:rPr>
                <w:rFonts w:eastAsia="標楷體" w:hint="eastAsia"/>
                <w:color w:val="000000"/>
              </w:rPr>
              <w:t>明</w:t>
            </w:r>
          </w:p>
        </w:tc>
      </w:tr>
      <w:tr w:rsidR="00E05BD6" w:rsidRPr="003C52D8" w:rsidTr="00314192">
        <w:trPr>
          <w:trHeight w:val="8067"/>
        </w:trPr>
        <w:tc>
          <w:tcPr>
            <w:tcW w:w="5033" w:type="dxa"/>
          </w:tcPr>
          <w:p w:rsidR="00E05BD6" w:rsidRPr="003E7AC0" w:rsidRDefault="00E05BD6" w:rsidP="00540A12">
            <w:pPr>
              <w:snapToGrid w:val="0"/>
              <w:jc w:val="center"/>
              <w:rPr>
                <w:rFonts w:eastAsia="標楷體"/>
                <w:color w:val="FF0000"/>
              </w:rPr>
            </w:pPr>
            <w:r w:rsidRPr="00815B35">
              <w:rPr>
                <w:rFonts w:eastAsia="標楷體" w:hint="eastAsia"/>
                <w:color w:val="FF0000"/>
              </w:rPr>
              <w:t>附</w:t>
            </w:r>
            <w:r w:rsidRPr="003E7AC0">
              <w:rPr>
                <w:rFonts w:eastAsia="標楷體" w:hint="eastAsia"/>
                <w:color w:val="FF0000"/>
              </w:rPr>
              <w:t>表一</w:t>
            </w:r>
            <w:r w:rsidRPr="003E7AC0">
              <w:rPr>
                <w:rFonts w:eastAsia="標楷體"/>
                <w:color w:val="FF0000"/>
              </w:rPr>
              <w:t xml:space="preserve"> </w:t>
            </w:r>
            <w:r w:rsidRPr="003E7AC0">
              <w:rPr>
                <w:rFonts w:eastAsia="標楷體" w:hint="eastAsia"/>
                <w:color w:val="FF0000"/>
              </w:rPr>
              <w:t>軌跡類模式及網格類模式模擬之模擬期程及模擬數量</w:t>
            </w:r>
          </w:p>
          <w:tbl>
            <w:tblPr>
              <w:tblW w:w="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9"/>
              <w:gridCol w:w="929"/>
              <w:gridCol w:w="932"/>
              <w:gridCol w:w="929"/>
              <w:gridCol w:w="932"/>
            </w:tblGrid>
            <w:tr w:rsidR="00E05BD6" w:rsidRPr="003E7AC0" w:rsidTr="007875BC">
              <w:trPr>
                <w:trHeight w:val="331"/>
                <w:jc w:val="center"/>
              </w:trPr>
              <w:tc>
                <w:tcPr>
                  <w:tcW w:w="1259" w:type="dxa"/>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tabs>
                      <w:tab w:val="right" w:pos="2571"/>
                    </w:tabs>
                    <w:snapToGrid w:val="0"/>
                    <w:jc w:val="center"/>
                    <w:rPr>
                      <w:rFonts w:eastAsia="標楷體"/>
                      <w:color w:val="FF0000"/>
                    </w:rPr>
                  </w:pPr>
                  <w:r w:rsidRPr="003E7AC0">
                    <w:rPr>
                      <w:rFonts w:eastAsia="標楷體" w:hint="eastAsia"/>
                      <w:color w:val="FF0000"/>
                    </w:rPr>
                    <w:t>排放量</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二級防制區</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三級防制區</w:t>
                  </w:r>
                </w:p>
              </w:tc>
            </w:tr>
            <w:tr w:rsidR="00E05BD6" w:rsidRPr="003E7AC0" w:rsidTr="007875BC">
              <w:trPr>
                <w:trHeight w:val="416"/>
                <w:jc w:val="center"/>
              </w:trPr>
              <w:tc>
                <w:tcPr>
                  <w:tcW w:w="1259"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snapToGrid w:val="0"/>
                    <w:jc w:val="both"/>
                    <w:rPr>
                      <w:rFonts w:eastAsia="標楷體"/>
                      <w:color w:val="FF0000"/>
                    </w:rPr>
                  </w:pP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模擬期程</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模擬數量</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模擬期程</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模擬數量</w:t>
                  </w:r>
                </w:p>
              </w:tc>
            </w:tr>
            <w:tr w:rsidR="00E05BD6" w:rsidRPr="003E7AC0" w:rsidTr="007875BC">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250 ~ 1000</w:t>
                  </w:r>
                  <w:r w:rsidRPr="003E7AC0">
                    <w:rPr>
                      <w:rFonts w:eastAsia="標楷體" w:hint="eastAsia"/>
                      <w:color w:val="FF0000"/>
                    </w:rPr>
                    <w:t>公噸</w:t>
                  </w:r>
                  <w:r w:rsidRPr="003E7AC0">
                    <w:rPr>
                      <w:rFonts w:eastAsia="標楷體"/>
                      <w:color w:val="FF0000"/>
                    </w:rPr>
                    <w:t>/</w:t>
                  </w:r>
                  <w:r w:rsidRPr="003E7AC0">
                    <w:rPr>
                      <w:rFonts w:eastAsia="標楷體" w:hint="eastAsia"/>
                      <w:color w:val="FF0000"/>
                    </w:rPr>
                    <w:t>年</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w:t>
                  </w:r>
                </w:p>
              </w:tc>
            </w:tr>
            <w:tr w:rsidR="00E05BD6" w:rsidRPr="003E7AC0" w:rsidTr="007875BC">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1000 ~ 2000</w:t>
                  </w:r>
                  <w:r w:rsidRPr="003E7AC0">
                    <w:rPr>
                      <w:rFonts w:eastAsia="標楷體" w:hint="eastAsia"/>
                      <w:color w:val="FF0000"/>
                    </w:rPr>
                    <w:t>公噸</w:t>
                  </w:r>
                  <w:r w:rsidRPr="003E7AC0">
                    <w:rPr>
                      <w:rFonts w:eastAsia="標楷體"/>
                      <w:color w:val="FF0000"/>
                    </w:rPr>
                    <w:t>/</w:t>
                  </w:r>
                  <w:r w:rsidRPr="003E7AC0">
                    <w:rPr>
                      <w:rFonts w:eastAsia="標楷體" w:hint="eastAsia"/>
                      <w:color w:val="FF0000"/>
                    </w:rPr>
                    <w:t>年</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2</w:t>
                  </w:r>
                </w:p>
              </w:tc>
            </w:tr>
            <w:tr w:rsidR="00E05BD6" w:rsidRPr="003E7AC0" w:rsidTr="007875BC">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2000 ~ 3000</w:t>
                  </w:r>
                  <w:r w:rsidRPr="003E7AC0">
                    <w:rPr>
                      <w:rFonts w:eastAsia="標楷體" w:hint="eastAsia"/>
                      <w:color w:val="FF0000"/>
                    </w:rPr>
                    <w:t>公噸</w:t>
                  </w:r>
                  <w:r w:rsidRPr="003E7AC0">
                    <w:rPr>
                      <w:rFonts w:eastAsia="標楷體"/>
                      <w:color w:val="FF0000"/>
                    </w:rPr>
                    <w:t>/</w:t>
                  </w:r>
                  <w:r w:rsidRPr="003E7AC0">
                    <w:rPr>
                      <w:rFonts w:eastAsia="標楷體" w:hint="eastAsia"/>
                      <w:color w:val="FF0000"/>
                    </w:rPr>
                    <w:t>年</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2</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w:t>
                  </w:r>
                </w:p>
              </w:tc>
            </w:tr>
            <w:tr w:rsidR="00E05BD6" w:rsidRPr="003E7AC0" w:rsidTr="007875BC">
              <w:trPr>
                <w:trHeight w:val="289"/>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3000</w:t>
                  </w:r>
                  <w:r w:rsidRPr="003E7AC0">
                    <w:rPr>
                      <w:rFonts w:eastAsia="標楷體" w:hint="eastAsia"/>
                      <w:color w:val="FF0000"/>
                    </w:rPr>
                    <w:t>公噸</w:t>
                  </w:r>
                  <w:r w:rsidRPr="003E7AC0">
                    <w:rPr>
                      <w:rFonts w:eastAsia="標楷體"/>
                      <w:color w:val="FF0000"/>
                    </w:rPr>
                    <w:t>/</w:t>
                  </w:r>
                  <w:r w:rsidRPr="003E7AC0">
                    <w:rPr>
                      <w:rFonts w:eastAsia="標楷體" w:hint="eastAsia"/>
                      <w:color w:val="FF0000"/>
                    </w:rPr>
                    <w:t>年以上</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1</w:t>
                  </w:r>
                </w:p>
              </w:tc>
              <w:tc>
                <w:tcPr>
                  <w:tcW w:w="929"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hint="eastAsia"/>
                      <w:color w:val="FF0000"/>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E05BD6" w:rsidRPr="003E7AC0" w:rsidRDefault="00E05BD6" w:rsidP="00314239">
                  <w:pPr>
                    <w:framePr w:hSpace="180" w:wrap="around" w:vAnchor="page" w:hAnchor="margin" w:y="2357"/>
                    <w:snapToGrid w:val="0"/>
                    <w:jc w:val="center"/>
                    <w:rPr>
                      <w:rFonts w:eastAsia="標楷體"/>
                      <w:color w:val="FF0000"/>
                    </w:rPr>
                  </w:pPr>
                  <w:r w:rsidRPr="003E7AC0">
                    <w:rPr>
                      <w:rFonts w:eastAsia="標楷體"/>
                      <w:color w:val="FF0000"/>
                    </w:rPr>
                    <w:t>2</w:t>
                  </w:r>
                </w:p>
              </w:tc>
            </w:tr>
          </w:tbl>
          <w:p w:rsidR="00E05BD6" w:rsidRPr="003E7AC0" w:rsidRDefault="00E05BD6" w:rsidP="00540A12">
            <w:pPr>
              <w:snapToGrid w:val="0"/>
              <w:ind w:leftChars="74" w:left="658" w:rightChars="88" w:right="211" w:hangingChars="200" w:hanging="480"/>
              <w:jc w:val="both"/>
              <w:rPr>
                <w:rFonts w:eastAsia="標楷體"/>
                <w:color w:val="FF0000"/>
              </w:rPr>
            </w:pPr>
            <w:r w:rsidRPr="003E7AC0">
              <w:rPr>
                <w:rFonts w:eastAsia="標楷體" w:hint="eastAsia"/>
                <w:color w:val="FF0000"/>
              </w:rPr>
              <w:t>註</w:t>
            </w:r>
            <w:r w:rsidRPr="003E7AC0">
              <w:rPr>
                <w:rFonts w:eastAsia="標楷體"/>
                <w:color w:val="FF0000"/>
              </w:rPr>
              <w:t>1</w:t>
            </w:r>
            <w:r w:rsidRPr="003E7AC0">
              <w:rPr>
                <w:rFonts w:eastAsia="標楷體" w:hint="eastAsia"/>
                <w:color w:val="FF0000"/>
              </w:rPr>
              <w:t>：本表排放量係依本規範第五條或第六條所定義計算得之。</w:t>
            </w:r>
          </w:p>
          <w:p w:rsidR="00E05BD6" w:rsidRPr="003E7AC0" w:rsidRDefault="00E05BD6" w:rsidP="00540A12">
            <w:pPr>
              <w:snapToGrid w:val="0"/>
              <w:ind w:leftChars="74" w:left="658" w:rightChars="88" w:right="211" w:hangingChars="200" w:hanging="480"/>
              <w:jc w:val="both"/>
              <w:rPr>
                <w:rFonts w:eastAsia="標楷體"/>
              </w:rPr>
            </w:pPr>
            <w:r w:rsidRPr="003E7AC0">
              <w:rPr>
                <w:rFonts w:eastAsia="標楷體" w:hint="eastAsia"/>
                <w:color w:val="FF0000"/>
              </w:rPr>
              <w:t>註</w:t>
            </w:r>
            <w:r w:rsidRPr="003E7AC0">
              <w:rPr>
                <w:rFonts w:eastAsia="標楷體"/>
                <w:color w:val="FF0000"/>
              </w:rPr>
              <w:t>2</w:t>
            </w:r>
            <w:r w:rsidRPr="003E7AC0">
              <w:rPr>
                <w:rFonts w:eastAsia="標楷體" w:hint="eastAsia"/>
                <w:color w:val="FF0000"/>
              </w:rPr>
              <w:t>：模擬數量大於一時，應分配於不同季節，且選擇中央主管機關所公告之案例月及案例季。若未公告時，應選擇空氣品質不良之月份及季節，月份原則上臭氧為五月或十月，懸浮微粒為十一月或十二月。案例季原則上臭氧為三月至五月及九月至十一月；懸浮微粒及細懸浮微粒為九月至十一月及十二月、一月及二月。</w:t>
            </w:r>
          </w:p>
        </w:tc>
        <w:tc>
          <w:tcPr>
            <w:tcW w:w="1215" w:type="dxa"/>
          </w:tcPr>
          <w:p w:rsidR="00E05BD6" w:rsidRPr="003E7AC0" w:rsidRDefault="00E05BD6" w:rsidP="00540A12">
            <w:pPr>
              <w:ind w:left="480" w:hangingChars="200" w:hanging="480"/>
              <w:jc w:val="both"/>
              <w:rPr>
                <w:rFonts w:eastAsia="標楷體"/>
              </w:rPr>
            </w:pPr>
          </w:p>
        </w:tc>
        <w:tc>
          <w:tcPr>
            <w:tcW w:w="3124" w:type="dxa"/>
          </w:tcPr>
          <w:p w:rsidR="00E05BD6" w:rsidRPr="003E7AC0" w:rsidRDefault="00E05BD6" w:rsidP="00540A12">
            <w:pPr>
              <w:numPr>
                <w:ilvl w:val="0"/>
                <w:numId w:val="24"/>
              </w:numPr>
              <w:jc w:val="both"/>
              <w:rPr>
                <w:rFonts w:eastAsia="標楷體"/>
                <w:color w:val="000000"/>
              </w:rPr>
            </w:pPr>
            <w:r w:rsidRPr="005F7FC4">
              <w:rPr>
                <w:rFonts w:eastAsia="標楷體" w:hint="eastAsia"/>
                <w:color w:val="000000"/>
                <w:u w:val="single"/>
              </w:rPr>
              <w:t>本附表新增</w:t>
            </w:r>
            <w:r w:rsidRPr="003E7AC0">
              <w:rPr>
                <w:rFonts w:eastAsia="標楷體" w:hint="eastAsia"/>
                <w:color w:val="000000"/>
              </w:rPr>
              <w:t>。</w:t>
            </w:r>
          </w:p>
          <w:p w:rsidR="00E05BD6" w:rsidRPr="003E7AC0" w:rsidRDefault="00E05BD6" w:rsidP="00540A12">
            <w:pPr>
              <w:numPr>
                <w:ilvl w:val="0"/>
                <w:numId w:val="24"/>
              </w:numPr>
              <w:jc w:val="both"/>
              <w:rPr>
                <w:rFonts w:eastAsia="標楷體"/>
                <w:color w:val="000000"/>
              </w:rPr>
            </w:pPr>
            <w:r w:rsidRPr="003E7AC0">
              <w:rPr>
                <w:rFonts w:eastAsia="標楷體" w:hint="eastAsia"/>
                <w:color w:val="000000"/>
              </w:rPr>
              <w:t>軌跡類模式及網格類模式模擬時依新增設或變更固定污染源排放量之大小選擇模擬期程及模擬數量。因電腦計算能力與日俱增且為能自更多的模式模擬結果中獲得有效的資訊，故修改模擬期程最少需一個月，而案例季之模擬能提供季節變化。同時加註說明當中央主管機關未公告相關模擬期程時之選擇方式</w:t>
            </w:r>
            <w:r>
              <w:rPr>
                <w:rFonts w:eastAsia="標楷體" w:hint="eastAsia"/>
                <w:color w:val="000000"/>
              </w:rPr>
              <w:t>，爰新增附表一</w:t>
            </w:r>
            <w:r w:rsidRPr="003E7AC0">
              <w:rPr>
                <w:rFonts w:eastAsia="標楷體" w:hint="eastAsia"/>
                <w:color w:val="000000"/>
              </w:rPr>
              <w:t>。</w:t>
            </w:r>
          </w:p>
          <w:p w:rsidR="00E05BD6" w:rsidRPr="003E7AC0" w:rsidRDefault="00E05BD6" w:rsidP="00540A12">
            <w:pPr>
              <w:ind w:left="180" w:hangingChars="75" w:hanging="180"/>
              <w:jc w:val="both"/>
              <w:rPr>
                <w:rFonts w:eastAsia="標楷體"/>
                <w:color w:val="000000"/>
              </w:rPr>
            </w:pPr>
          </w:p>
        </w:tc>
      </w:tr>
    </w:tbl>
    <w:p w:rsidR="00E05BD6" w:rsidRDefault="00E05BD6" w:rsidP="001F5861">
      <w:pPr>
        <w:rPr>
          <w:rFonts w:ascii="標楷體" w:eastAsia="標楷體" w:hAnsi="標楷體"/>
        </w:rPr>
      </w:pPr>
    </w:p>
    <w:p w:rsidR="00E05BD6" w:rsidRPr="00540A12" w:rsidRDefault="00E05BD6" w:rsidP="001F5861">
      <w:pPr>
        <w:rPr>
          <w:rFonts w:ascii="標楷體" w:eastAsia="標楷體" w:hAnsi="標楷體"/>
        </w:rPr>
      </w:pPr>
    </w:p>
    <w:sectPr w:rsidR="00E05BD6" w:rsidRPr="00540A12" w:rsidSect="001A47BA">
      <w:footerReference w:type="even"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BD6" w:rsidRDefault="00E05BD6">
      <w:r>
        <w:separator/>
      </w:r>
    </w:p>
  </w:endnote>
  <w:endnote w:type="continuationSeparator" w:id="0">
    <w:p w:rsidR="00E05BD6" w:rsidRDefault="00E05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D6" w:rsidRDefault="00E05BD6" w:rsidP="00E42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BD6" w:rsidRDefault="00E05BD6" w:rsidP="00E42D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D6" w:rsidRDefault="00E05BD6" w:rsidP="00E42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05BD6" w:rsidRDefault="00E05BD6" w:rsidP="00E42D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BD6" w:rsidRDefault="00E05BD6">
      <w:r>
        <w:separator/>
      </w:r>
    </w:p>
  </w:footnote>
  <w:footnote w:type="continuationSeparator" w:id="0">
    <w:p w:rsidR="00E05BD6" w:rsidRDefault="00E05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853"/>
    <w:multiLevelType w:val="hybridMultilevel"/>
    <w:tmpl w:val="CE68F2D4"/>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505F36"/>
    <w:multiLevelType w:val="hybridMultilevel"/>
    <w:tmpl w:val="05307A44"/>
    <w:lvl w:ilvl="0" w:tplc="EC4E1D4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76469B"/>
    <w:multiLevelType w:val="hybridMultilevel"/>
    <w:tmpl w:val="DA12A03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9106284"/>
    <w:multiLevelType w:val="hybridMultilevel"/>
    <w:tmpl w:val="7648191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E52210D"/>
    <w:multiLevelType w:val="hybridMultilevel"/>
    <w:tmpl w:val="1C7631EE"/>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C37E32"/>
    <w:multiLevelType w:val="multilevel"/>
    <w:tmpl w:val="6A1E7E20"/>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0F3D5017"/>
    <w:multiLevelType w:val="hybridMultilevel"/>
    <w:tmpl w:val="8292898E"/>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10F366FF"/>
    <w:multiLevelType w:val="hybridMultilevel"/>
    <w:tmpl w:val="30A6C0EC"/>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12F61AA7"/>
    <w:multiLevelType w:val="hybridMultilevel"/>
    <w:tmpl w:val="DC04489A"/>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DE464B7"/>
    <w:multiLevelType w:val="hybridMultilevel"/>
    <w:tmpl w:val="102481D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16714CA"/>
    <w:multiLevelType w:val="hybridMultilevel"/>
    <w:tmpl w:val="6A1E7E20"/>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3EB18F0"/>
    <w:multiLevelType w:val="hybridMultilevel"/>
    <w:tmpl w:val="BB6257D2"/>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242A11BB"/>
    <w:multiLevelType w:val="hybridMultilevel"/>
    <w:tmpl w:val="8D5EAFE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5DB0A31"/>
    <w:multiLevelType w:val="hybridMultilevel"/>
    <w:tmpl w:val="72C463C6"/>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EDD002D"/>
    <w:multiLevelType w:val="multilevel"/>
    <w:tmpl w:val="C9BE24F0"/>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nsid w:val="341B3D8F"/>
    <w:multiLevelType w:val="hybridMultilevel"/>
    <w:tmpl w:val="2DA8F742"/>
    <w:lvl w:ilvl="0" w:tplc="D1F64CF0">
      <w:start w:val="1"/>
      <w:numFmt w:val="taiwaneseCountingThousand"/>
      <w:lvlText w:val="%1、"/>
      <w:lvlJc w:val="left"/>
      <w:pPr>
        <w:tabs>
          <w:tab w:val="num" w:pos="960"/>
        </w:tabs>
        <w:ind w:left="960" w:hanging="480"/>
      </w:pPr>
      <w:rPr>
        <w:rFonts w:cs="Times New Roman" w:hint="eastAsia"/>
      </w:rPr>
    </w:lvl>
    <w:lvl w:ilvl="1" w:tplc="D1F64CF0">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3CF00EB6"/>
    <w:multiLevelType w:val="multilevel"/>
    <w:tmpl w:val="1C7631EE"/>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nsid w:val="47821AED"/>
    <w:multiLevelType w:val="multilevel"/>
    <w:tmpl w:val="DC04489A"/>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nsid w:val="480F2168"/>
    <w:multiLevelType w:val="hybridMultilevel"/>
    <w:tmpl w:val="98EABB54"/>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B356D84"/>
    <w:multiLevelType w:val="multilevel"/>
    <w:tmpl w:val="CE68F2D4"/>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DE80313"/>
    <w:multiLevelType w:val="hybridMultilevel"/>
    <w:tmpl w:val="24DA16B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069114D"/>
    <w:multiLevelType w:val="hybridMultilevel"/>
    <w:tmpl w:val="DA5455E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52623E94"/>
    <w:multiLevelType w:val="hybridMultilevel"/>
    <w:tmpl w:val="92624532"/>
    <w:lvl w:ilvl="0" w:tplc="D1F64CF0">
      <w:start w:val="1"/>
      <w:numFmt w:val="taiwaneseCountingThousand"/>
      <w:lvlText w:val="%1、"/>
      <w:lvlJc w:val="left"/>
      <w:pPr>
        <w:tabs>
          <w:tab w:val="num" w:pos="480"/>
        </w:tabs>
        <w:ind w:left="480" w:hanging="480"/>
      </w:pPr>
      <w:rPr>
        <w:rFonts w:cs="Times New Roman" w:hint="eastAsia"/>
      </w:rPr>
    </w:lvl>
    <w:lvl w:ilvl="1" w:tplc="D1F64CF0">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9F0139C"/>
    <w:multiLevelType w:val="hybridMultilevel"/>
    <w:tmpl w:val="E9BC5B1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3C25332"/>
    <w:multiLevelType w:val="hybridMultilevel"/>
    <w:tmpl w:val="91BEB9A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68251585"/>
    <w:multiLevelType w:val="hybridMultilevel"/>
    <w:tmpl w:val="81806CAE"/>
    <w:lvl w:ilvl="0" w:tplc="CBFC271C">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A1D1DF2"/>
    <w:multiLevelType w:val="multilevel"/>
    <w:tmpl w:val="88EAFEFC"/>
    <w:lvl w:ilvl="0">
      <w:start w:val="1"/>
      <w:numFmt w:val="taiwaneseCountingThousand"/>
      <w:lvlText w:val="%1、"/>
      <w:lvlJc w:val="left"/>
      <w:pPr>
        <w:tabs>
          <w:tab w:val="num" w:pos="960"/>
        </w:tabs>
        <w:ind w:left="960" w:hanging="480"/>
      </w:pPr>
      <w:rPr>
        <w:rFonts w:cs="Times New Roman" w:hint="eastAsia"/>
      </w:rPr>
    </w:lvl>
    <w:lvl w:ilvl="1">
      <w:start w:val="1"/>
      <w:numFmt w:val="decimal"/>
      <w:lvlText w:val="%2."/>
      <w:lvlJc w:val="left"/>
      <w:pPr>
        <w:tabs>
          <w:tab w:val="num" w:pos="1440"/>
        </w:tabs>
        <w:ind w:left="1440" w:hanging="48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27">
    <w:nsid w:val="6B4A34AF"/>
    <w:multiLevelType w:val="multilevel"/>
    <w:tmpl w:val="ECEA8C66"/>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047"/>
        </w:tabs>
        <w:ind w:left="1047" w:hanging="567"/>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717B41BA"/>
    <w:multiLevelType w:val="multilevel"/>
    <w:tmpl w:val="ECEA8C66"/>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047"/>
        </w:tabs>
        <w:ind w:left="1047" w:hanging="567"/>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nsid w:val="71EA6BDB"/>
    <w:multiLevelType w:val="multilevel"/>
    <w:tmpl w:val="70084720"/>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047"/>
        </w:tabs>
        <w:ind w:left="1047" w:hanging="567"/>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nsid w:val="78ED664D"/>
    <w:multiLevelType w:val="hybridMultilevel"/>
    <w:tmpl w:val="21A888D4"/>
    <w:lvl w:ilvl="0" w:tplc="D1F64CF0">
      <w:start w:val="1"/>
      <w:numFmt w:val="taiwaneseCountingThousand"/>
      <w:lvlText w:val="%1、"/>
      <w:lvlJc w:val="left"/>
      <w:pPr>
        <w:tabs>
          <w:tab w:val="num" w:pos="480"/>
        </w:tabs>
        <w:ind w:left="480" w:hanging="480"/>
      </w:pPr>
      <w:rPr>
        <w:rFonts w:cs="Times New Roman" w:hint="eastAsia"/>
      </w:rPr>
    </w:lvl>
    <w:lvl w:ilvl="1" w:tplc="9294CB9E">
      <w:start w:val="1"/>
      <w:numFmt w:val="taiwaneseCountingThousand"/>
      <w:lvlText w:val="（%2）"/>
      <w:lvlJc w:val="left"/>
      <w:pPr>
        <w:tabs>
          <w:tab w:val="num" w:pos="1047"/>
        </w:tabs>
        <w:ind w:left="1021" w:hanging="737"/>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8F80E0A"/>
    <w:multiLevelType w:val="hybridMultilevel"/>
    <w:tmpl w:val="8844038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EF2516B"/>
    <w:multiLevelType w:val="multilevel"/>
    <w:tmpl w:val="2DA8F742"/>
    <w:lvl w:ilvl="0">
      <w:start w:val="1"/>
      <w:numFmt w:val="taiwaneseCountingThousand"/>
      <w:lvlText w:val="%1、"/>
      <w:lvlJc w:val="left"/>
      <w:pPr>
        <w:tabs>
          <w:tab w:val="num" w:pos="960"/>
        </w:tabs>
        <w:ind w:left="960" w:hanging="480"/>
      </w:pPr>
      <w:rPr>
        <w:rFonts w:cs="Times New Roman" w:hint="eastAsia"/>
      </w:rPr>
    </w:lvl>
    <w:lvl w:ilvl="1">
      <w:start w:val="1"/>
      <w:numFmt w:val="taiwaneseCountingThousand"/>
      <w:lvlText w:val="%2、"/>
      <w:lvlJc w:val="left"/>
      <w:pPr>
        <w:tabs>
          <w:tab w:val="num" w:pos="960"/>
        </w:tabs>
        <w:ind w:left="960" w:hanging="48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num w:numId="1">
    <w:abstractNumId w:val="1"/>
  </w:num>
  <w:num w:numId="2">
    <w:abstractNumId w:val="24"/>
  </w:num>
  <w:num w:numId="3">
    <w:abstractNumId w:val="30"/>
  </w:num>
  <w:num w:numId="4">
    <w:abstractNumId w:val="2"/>
  </w:num>
  <w:num w:numId="5">
    <w:abstractNumId w:val="13"/>
  </w:num>
  <w:num w:numId="6">
    <w:abstractNumId w:val="22"/>
  </w:num>
  <w:num w:numId="7">
    <w:abstractNumId w:val="20"/>
  </w:num>
  <w:num w:numId="8">
    <w:abstractNumId w:val="7"/>
  </w:num>
  <w:num w:numId="9">
    <w:abstractNumId w:val="21"/>
  </w:num>
  <w:num w:numId="10">
    <w:abstractNumId w:val="8"/>
  </w:num>
  <w:num w:numId="11">
    <w:abstractNumId w:val="17"/>
  </w:num>
  <w:num w:numId="12">
    <w:abstractNumId w:val="11"/>
  </w:num>
  <w:num w:numId="13">
    <w:abstractNumId w:val="23"/>
  </w:num>
  <w:num w:numId="14">
    <w:abstractNumId w:val="4"/>
  </w:num>
  <w:num w:numId="15">
    <w:abstractNumId w:val="16"/>
  </w:num>
  <w:num w:numId="16">
    <w:abstractNumId w:val="6"/>
  </w:num>
  <w:num w:numId="17">
    <w:abstractNumId w:val="3"/>
  </w:num>
  <w:num w:numId="18">
    <w:abstractNumId w:val="0"/>
  </w:num>
  <w:num w:numId="19">
    <w:abstractNumId w:val="19"/>
  </w:num>
  <w:num w:numId="20">
    <w:abstractNumId w:val="15"/>
  </w:num>
  <w:num w:numId="21">
    <w:abstractNumId w:val="12"/>
  </w:num>
  <w:num w:numId="22">
    <w:abstractNumId w:val="10"/>
  </w:num>
  <w:num w:numId="23">
    <w:abstractNumId w:val="5"/>
  </w:num>
  <w:num w:numId="24">
    <w:abstractNumId w:val="9"/>
  </w:num>
  <w:num w:numId="25">
    <w:abstractNumId w:val="26"/>
  </w:num>
  <w:num w:numId="26">
    <w:abstractNumId w:val="25"/>
  </w:num>
  <w:num w:numId="27">
    <w:abstractNumId w:val="31"/>
  </w:num>
  <w:num w:numId="28">
    <w:abstractNumId w:val="32"/>
  </w:num>
  <w:num w:numId="29">
    <w:abstractNumId w:val="18"/>
  </w:num>
  <w:num w:numId="30">
    <w:abstractNumId w:val="14"/>
  </w:num>
  <w:num w:numId="31">
    <w:abstractNumId w:val="27"/>
  </w:num>
  <w:num w:numId="32">
    <w:abstractNumId w:val="28"/>
  </w:num>
  <w:num w:numId="33">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524"/>
    <w:rsid w:val="00001791"/>
    <w:rsid w:val="00005203"/>
    <w:rsid w:val="000054CC"/>
    <w:rsid w:val="0000655C"/>
    <w:rsid w:val="00007FD0"/>
    <w:rsid w:val="0001278E"/>
    <w:rsid w:val="000130A5"/>
    <w:rsid w:val="0001498F"/>
    <w:rsid w:val="00015E16"/>
    <w:rsid w:val="000166D6"/>
    <w:rsid w:val="00016EBA"/>
    <w:rsid w:val="00017A6F"/>
    <w:rsid w:val="00021AF9"/>
    <w:rsid w:val="0002353B"/>
    <w:rsid w:val="00025A72"/>
    <w:rsid w:val="00025D72"/>
    <w:rsid w:val="000268B0"/>
    <w:rsid w:val="00030B6F"/>
    <w:rsid w:val="00032141"/>
    <w:rsid w:val="00032F41"/>
    <w:rsid w:val="00035F36"/>
    <w:rsid w:val="00040260"/>
    <w:rsid w:val="000409C6"/>
    <w:rsid w:val="00041540"/>
    <w:rsid w:val="00042F77"/>
    <w:rsid w:val="00051364"/>
    <w:rsid w:val="00051899"/>
    <w:rsid w:val="00053288"/>
    <w:rsid w:val="00053ACF"/>
    <w:rsid w:val="00053D3F"/>
    <w:rsid w:val="00060002"/>
    <w:rsid w:val="0006074A"/>
    <w:rsid w:val="0006339B"/>
    <w:rsid w:val="00065A88"/>
    <w:rsid w:val="00067D35"/>
    <w:rsid w:val="0007173D"/>
    <w:rsid w:val="00077837"/>
    <w:rsid w:val="00080EFF"/>
    <w:rsid w:val="00081F6C"/>
    <w:rsid w:val="00082272"/>
    <w:rsid w:val="0008258D"/>
    <w:rsid w:val="00083FB1"/>
    <w:rsid w:val="000854D9"/>
    <w:rsid w:val="00086232"/>
    <w:rsid w:val="00086BE6"/>
    <w:rsid w:val="00087F89"/>
    <w:rsid w:val="000903D7"/>
    <w:rsid w:val="0009308B"/>
    <w:rsid w:val="0009374C"/>
    <w:rsid w:val="00094E6C"/>
    <w:rsid w:val="000963F3"/>
    <w:rsid w:val="000A13A3"/>
    <w:rsid w:val="000A20E7"/>
    <w:rsid w:val="000A6D5A"/>
    <w:rsid w:val="000A7FC9"/>
    <w:rsid w:val="000B0A6F"/>
    <w:rsid w:val="000B130F"/>
    <w:rsid w:val="000B36B6"/>
    <w:rsid w:val="000B449C"/>
    <w:rsid w:val="000B4767"/>
    <w:rsid w:val="000B5E55"/>
    <w:rsid w:val="000B6168"/>
    <w:rsid w:val="000C51F7"/>
    <w:rsid w:val="000C57B4"/>
    <w:rsid w:val="000C66E2"/>
    <w:rsid w:val="000D0634"/>
    <w:rsid w:val="000D2491"/>
    <w:rsid w:val="000D2B74"/>
    <w:rsid w:val="000D4F34"/>
    <w:rsid w:val="000D5C21"/>
    <w:rsid w:val="000E3354"/>
    <w:rsid w:val="000E3E85"/>
    <w:rsid w:val="000E539D"/>
    <w:rsid w:val="000E5784"/>
    <w:rsid w:val="000E5CC8"/>
    <w:rsid w:val="000E7271"/>
    <w:rsid w:val="000F5587"/>
    <w:rsid w:val="000F5803"/>
    <w:rsid w:val="000F5DD8"/>
    <w:rsid w:val="000F5FF2"/>
    <w:rsid w:val="000F634B"/>
    <w:rsid w:val="000F7FB2"/>
    <w:rsid w:val="00103B79"/>
    <w:rsid w:val="00105169"/>
    <w:rsid w:val="00111D21"/>
    <w:rsid w:val="00114F58"/>
    <w:rsid w:val="00114F6C"/>
    <w:rsid w:val="00117508"/>
    <w:rsid w:val="00117B94"/>
    <w:rsid w:val="00122CC8"/>
    <w:rsid w:val="00125F83"/>
    <w:rsid w:val="001267CA"/>
    <w:rsid w:val="00131D07"/>
    <w:rsid w:val="00131E49"/>
    <w:rsid w:val="00133DD9"/>
    <w:rsid w:val="00134F33"/>
    <w:rsid w:val="00135D38"/>
    <w:rsid w:val="001373DF"/>
    <w:rsid w:val="00141ACF"/>
    <w:rsid w:val="0014449B"/>
    <w:rsid w:val="00146C03"/>
    <w:rsid w:val="00150BA0"/>
    <w:rsid w:val="0015273E"/>
    <w:rsid w:val="00155878"/>
    <w:rsid w:val="001578C1"/>
    <w:rsid w:val="001614BB"/>
    <w:rsid w:val="00161921"/>
    <w:rsid w:val="0016412B"/>
    <w:rsid w:val="0016461E"/>
    <w:rsid w:val="0016463B"/>
    <w:rsid w:val="001653D1"/>
    <w:rsid w:val="00165758"/>
    <w:rsid w:val="001659C7"/>
    <w:rsid w:val="00167FBC"/>
    <w:rsid w:val="00170079"/>
    <w:rsid w:val="00171E2A"/>
    <w:rsid w:val="001757C3"/>
    <w:rsid w:val="00176710"/>
    <w:rsid w:val="001803CA"/>
    <w:rsid w:val="00182EB2"/>
    <w:rsid w:val="00191A02"/>
    <w:rsid w:val="001932CA"/>
    <w:rsid w:val="001A0AD9"/>
    <w:rsid w:val="001A47BA"/>
    <w:rsid w:val="001A6CC1"/>
    <w:rsid w:val="001A7012"/>
    <w:rsid w:val="001B1BBF"/>
    <w:rsid w:val="001B1CD8"/>
    <w:rsid w:val="001B1EC1"/>
    <w:rsid w:val="001B25B5"/>
    <w:rsid w:val="001B3DBF"/>
    <w:rsid w:val="001B49CF"/>
    <w:rsid w:val="001B7429"/>
    <w:rsid w:val="001C0BCE"/>
    <w:rsid w:val="001C2287"/>
    <w:rsid w:val="001C4026"/>
    <w:rsid w:val="001C468A"/>
    <w:rsid w:val="001D0136"/>
    <w:rsid w:val="001D0790"/>
    <w:rsid w:val="001D164F"/>
    <w:rsid w:val="001D1B3F"/>
    <w:rsid w:val="001E12E1"/>
    <w:rsid w:val="001E3337"/>
    <w:rsid w:val="001F22D8"/>
    <w:rsid w:val="001F27B7"/>
    <w:rsid w:val="001F583A"/>
    <w:rsid w:val="001F5861"/>
    <w:rsid w:val="001F5AB9"/>
    <w:rsid w:val="001F66DD"/>
    <w:rsid w:val="00211007"/>
    <w:rsid w:val="00211DC7"/>
    <w:rsid w:val="0021221E"/>
    <w:rsid w:val="00213D71"/>
    <w:rsid w:val="0021567C"/>
    <w:rsid w:val="00215CC9"/>
    <w:rsid w:val="00221DC1"/>
    <w:rsid w:val="00223569"/>
    <w:rsid w:val="00223605"/>
    <w:rsid w:val="00224177"/>
    <w:rsid w:val="00224827"/>
    <w:rsid w:val="002248B8"/>
    <w:rsid w:val="00226C73"/>
    <w:rsid w:val="00226DB3"/>
    <w:rsid w:val="00230DC3"/>
    <w:rsid w:val="0023161E"/>
    <w:rsid w:val="00231708"/>
    <w:rsid w:val="0023230F"/>
    <w:rsid w:val="0023249B"/>
    <w:rsid w:val="00234923"/>
    <w:rsid w:val="00234FE7"/>
    <w:rsid w:val="002368ED"/>
    <w:rsid w:val="002371AB"/>
    <w:rsid w:val="0024032A"/>
    <w:rsid w:val="00242B0E"/>
    <w:rsid w:val="00243100"/>
    <w:rsid w:val="00245206"/>
    <w:rsid w:val="00245AD0"/>
    <w:rsid w:val="00245E8F"/>
    <w:rsid w:val="002475B2"/>
    <w:rsid w:val="0025318B"/>
    <w:rsid w:val="002623C4"/>
    <w:rsid w:val="00262E8D"/>
    <w:rsid w:val="002632D9"/>
    <w:rsid w:val="0026378F"/>
    <w:rsid w:val="002645C5"/>
    <w:rsid w:val="00266193"/>
    <w:rsid w:val="00267A9D"/>
    <w:rsid w:val="00270396"/>
    <w:rsid w:val="0027093A"/>
    <w:rsid w:val="002763B3"/>
    <w:rsid w:val="00276455"/>
    <w:rsid w:val="0027673E"/>
    <w:rsid w:val="00280540"/>
    <w:rsid w:val="00281DBF"/>
    <w:rsid w:val="00282C6A"/>
    <w:rsid w:val="002830C4"/>
    <w:rsid w:val="00283595"/>
    <w:rsid w:val="00286324"/>
    <w:rsid w:val="00290235"/>
    <w:rsid w:val="0029028F"/>
    <w:rsid w:val="00290C52"/>
    <w:rsid w:val="00291211"/>
    <w:rsid w:val="00292C37"/>
    <w:rsid w:val="00292F90"/>
    <w:rsid w:val="00293D66"/>
    <w:rsid w:val="0029437B"/>
    <w:rsid w:val="002A20D8"/>
    <w:rsid w:val="002A60A2"/>
    <w:rsid w:val="002A6830"/>
    <w:rsid w:val="002A6C42"/>
    <w:rsid w:val="002A782E"/>
    <w:rsid w:val="002A7994"/>
    <w:rsid w:val="002B027D"/>
    <w:rsid w:val="002B0742"/>
    <w:rsid w:val="002B1737"/>
    <w:rsid w:val="002B1B7D"/>
    <w:rsid w:val="002B2818"/>
    <w:rsid w:val="002B4474"/>
    <w:rsid w:val="002B494A"/>
    <w:rsid w:val="002B5D5D"/>
    <w:rsid w:val="002B70D0"/>
    <w:rsid w:val="002C7115"/>
    <w:rsid w:val="002C7A56"/>
    <w:rsid w:val="002D0E9E"/>
    <w:rsid w:val="002D2898"/>
    <w:rsid w:val="002D577B"/>
    <w:rsid w:val="002D7415"/>
    <w:rsid w:val="002E0597"/>
    <w:rsid w:val="002E1F9C"/>
    <w:rsid w:val="002E262C"/>
    <w:rsid w:val="002E6A75"/>
    <w:rsid w:val="002F0CD2"/>
    <w:rsid w:val="002F10A1"/>
    <w:rsid w:val="002F1C57"/>
    <w:rsid w:val="002F27B1"/>
    <w:rsid w:val="002F36D2"/>
    <w:rsid w:val="002F4BF5"/>
    <w:rsid w:val="002F54DC"/>
    <w:rsid w:val="002F7602"/>
    <w:rsid w:val="002F7941"/>
    <w:rsid w:val="002F79B8"/>
    <w:rsid w:val="00300969"/>
    <w:rsid w:val="00301150"/>
    <w:rsid w:val="003031F7"/>
    <w:rsid w:val="00305ADD"/>
    <w:rsid w:val="00314192"/>
    <w:rsid w:val="00314239"/>
    <w:rsid w:val="00316005"/>
    <w:rsid w:val="00316BA5"/>
    <w:rsid w:val="00316CED"/>
    <w:rsid w:val="00320389"/>
    <w:rsid w:val="00323E82"/>
    <w:rsid w:val="003242C5"/>
    <w:rsid w:val="00325608"/>
    <w:rsid w:val="00326EDD"/>
    <w:rsid w:val="00330302"/>
    <w:rsid w:val="00330B62"/>
    <w:rsid w:val="00332A86"/>
    <w:rsid w:val="00333D8C"/>
    <w:rsid w:val="0033787F"/>
    <w:rsid w:val="00337E0E"/>
    <w:rsid w:val="00337FC7"/>
    <w:rsid w:val="00342E4C"/>
    <w:rsid w:val="003467F0"/>
    <w:rsid w:val="003474EC"/>
    <w:rsid w:val="003479C9"/>
    <w:rsid w:val="00347B1E"/>
    <w:rsid w:val="003524B2"/>
    <w:rsid w:val="00355F6A"/>
    <w:rsid w:val="0035733C"/>
    <w:rsid w:val="003679AF"/>
    <w:rsid w:val="003708B0"/>
    <w:rsid w:val="00376C95"/>
    <w:rsid w:val="00376F8C"/>
    <w:rsid w:val="00380DAA"/>
    <w:rsid w:val="003820BE"/>
    <w:rsid w:val="00384000"/>
    <w:rsid w:val="00384A15"/>
    <w:rsid w:val="0038640D"/>
    <w:rsid w:val="003870CA"/>
    <w:rsid w:val="00390447"/>
    <w:rsid w:val="003917C2"/>
    <w:rsid w:val="003A0D94"/>
    <w:rsid w:val="003A2D8C"/>
    <w:rsid w:val="003A333E"/>
    <w:rsid w:val="003B0BCD"/>
    <w:rsid w:val="003B1041"/>
    <w:rsid w:val="003B159F"/>
    <w:rsid w:val="003B46BF"/>
    <w:rsid w:val="003B5B4E"/>
    <w:rsid w:val="003B7323"/>
    <w:rsid w:val="003C15AC"/>
    <w:rsid w:val="003C4436"/>
    <w:rsid w:val="003C52D8"/>
    <w:rsid w:val="003C5770"/>
    <w:rsid w:val="003C6537"/>
    <w:rsid w:val="003C7A70"/>
    <w:rsid w:val="003D0368"/>
    <w:rsid w:val="003D3F11"/>
    <w:rsid w:val="003D41BC"/>
    <w:rsid w:val="003D424B"/>
    <w:rsid w:val="003D73C0"/>
    <w:rsid w:val="003E0BC7"/>
    <w:rsid w:val="003E1397"/>
    <w:rsid w:val="003E492E"/>
    <w:rsid w:val="003E7AC0"/>
    <w:rsid w:val="003F4001"/>
    <w:rsid w:val="003F52B1"/>
    <w:rsid w:val="003F683B"/>
    <w:rsid w:val="003F79D6"/>
    <w:rsid w:val="00405ED7"/>
    <w:rsid w:val="004106EC"/>
    <w:rsid w:val="004122F2"/>
    <w:rsid w:val="00414B8A"/>
    <w:rsid w:val="00421720"/>
    <w:rsid w:val="00424F79"/>
    <w:rsid w:val="00425D15"/>
    <w:rsid w:val="0043001E"/>
    <w:rsid w:val="004314A2"/>
    <w:rsid w:val="00432827"/>
    <w:rsid w:val="0043354D"/>
    <w:rsid w:val="00434125"/>
    <w:rsid w:val="00435968"/>
    <w:rsid w:val="00436A60"/>
    <w:rsid w:val="00441751"/>
    <w:rsid w:val="00444D6A"/>
    <w:rsid w:val="00446238"/>
    <w:rsid w:val="00447673"/>
    <w:rsid w:val="004524DE"/>
    <w:rsid w:val="0045559A"/>
    <w:rsid w:val="00455FFB"/>
    <w:rsid w:val="0046032E"/>
    <w:rsid w:val="00461F6A"/>
    <w:rsid w:val="00462F7D"/>
    <w:rsid w:val="0046480F"/>
    <w:rsid w:val="00466431"/>
    <w:rsid w:val="0047078A"/>
    <w:rsid w:val="00470901"/>
    <w:rsid w:val="004727FC"/>
    <w:rsid w:val="00476C3B"/>
    <w:rsid w:val="0048012A"/>
    <w:rsid w:val="00480279"/>
    <w:rsid w:val="00481919"/>
    <w:rsid w:val="00481D6B"/>
    <w:rsid w:val="00482B25"/>
    <w:rsid w:val="00483989"/>
    <w:rsid w:val="00491CF7"/>
    <w:rsid w:val="00494CDE"/>
    <w:rsid w:val="00496B14"/>
    <w:rsid w:val="004A52DC"/>
    <w:rsid w:val="004A617D"/>
    <w:rsid w:val="004A7780"/>
    <w:rsid w:val="004A7EEA"/>
    <w:rsid w:val="004B055F"/>
    <w:rsid w:val="004B0E94"/>
    <w:rsid w:val="004B103C"/>
    <w:rsid w:val="004B250E"/>
    <w:rsid w:val="004B2E60"/>
    <w:rsid w:val="004B2E7B"/>
    <w:rsid w:val="004B3301"/>
    <w:rsid w:val="004B38C9"/>
    <w:rsid w:val="004B59A5"/>
    <w:rsid w:val="004C1905"/>
    <w:rsid w:val="004C2A7D"/>
    <w:rsid w:val="004D1AFE"/>
    <w:rsid w:val="004D39EB"/>
    <w:rsid w:val="004E0997"/>
    <w:rsid w:val="004E42E9"/>
    <w:rsid w:val="004E5885"/>
    <w:rsid w:val="004E7352"/>
    <w:rsid w:val="004E7FFE"/>
    <w:rsid w:val="004F31E7"/>
    <w:rsid w:val="004F3348"/>
    <w:rsid w:val="004F4302"/>
    <w:rsid w:val="004F472C"/>
    <w:rsid w:val="004F6587"/>
    <w:rsid w:val="004F6D14"/>
    <w:rsid w:val="004F6DA3"/>
    <w:rsid w:val="004F6FB3"/>
    <w:rsid w:val="005031CB"/>
    <w:rsid w:val="005043E3"/>
    <w:rsid w:val="00505DBB"/>
    <w:rsid w:val="0050606A"/>
    <w:rsid w:val="005069F9"/>
    <w:rsid w:val="005073B9"/>
    <w:rsid w:val="00507DC2"/>
    <w:rsid w:val="005113FA"/>
    <w:rsid w:val="0051386F"/>
    <w:rsid w:val="005138BB"/>
    <w:rsid w:val="00514A48"/>
    <w:rsid w:val="00516208"/>
    <w:rsid w:val="00520678"/>
    <w:rsid w:val="005217DA"/>
    <w:rsid w:val="00523849"/>
    <w:rsid w:val="0052551F"/>
    <w:rsid w:val="00525B4F"/>
    <w:rsid w:val="00533852"/>
    <w:rsid w:val="00534150"/>
    <w:rsid w:val="0053556E"/>
    <w:rsid w:val="00536FA8"/>
    <w:rsid w:val="00540A12"/>
    <w:rsid w:val="005432C3"/>
    <w:rsid w:val="00543A17"/>
    <w:rsid w:val="00543CBB"/>
    <w:rsid w:val="00543DDA"/>
    <w:rsid w:val="00543E55"/>
    <w:rsid w:val="00544A0B"/>
    <w:rsid w:val="005473D3"/>
    <w:rsid w:val="005476D4"/>
    <w:rsid w:val="00551AC1"/>
    <w:rsid w:val="005526AB"/>
    <w:rsid w:val="00552E08"/>
    <w:rsid w:val="00553299"/>
    <w:rsid w:val="005537D2"/>
    <w:rsid w:val="0055679F"/>
    <w:rsid w:val="005600AF"/>
    <w:rsid w:val="00561E62"/>
    <w:rsid w:val="00562E0E"/>
    <w:rsid w:val="00563892"/>
    <w:rsid w:val="00564D09"/>
    <w:rsid w:val="005672BA"/>
    <w:rsid w:val="0056757C"/>
    <w:rsid w:val="00567DD1"/>
    <w:rsid w:val="00573A4A"/>
    <w:rsid w:val="0057421F"/>
    <w:rsid w:val="0057707D"/>
    <w:rsid w:val="00581B17"/>
    <w:rsid w:val="00582E2F"/>
    <w:rsid w:val="00582E72"/>
    <w:rsid w:val="0059041A"/>
    <w:rsid w:val="00591043"/>
    <w:rsid w:val="00593F56"/>
    <w:rsid w:val="00593F8C"/>
    <w:rsid w:val="00596E88"/>
    <w:rsid w:val="005A24CB"/>
    <w:rsid w:val="005A2F4C"/>
    <w:rsid w:val="005A3220"/>
    <w:rsid w:val="005A5897"/>
    <w:rsid w:val="005B2FD7"/>
    <w:rsid w:val="005B5392"/>
    <w:rsid w:val="005B6008"/>
    <w:rsid w:val="005B68D3"/>
    <w:rsid w:val="005C229C"/>
    <w:rsid w:val="005C5336"/>
    <w:rsid w:val="005C54D8"/>
    <w:rsid w:val="005C673F"/>
    <w:rsid w:val="005D01BD"/>
    <w:rsid w:val="005D118D"/>
    <w:rsid w:val="005D44FC"/>
    <w:rsid w:val="005D4C10"/>
    <w:rsid w:val="005D5542"/>
    <w:rsid w:val="005D575A"/>
    <w:rsid w:val="005D73C8"/>
    <w:rsid w:val="005D7A4D"/>
    <w:rsid w:val="005E082A"/>
    <w:rsid w:val="005E3FB2"/>
    <w:rsid w:val="005F2048"/>
    <w:rsid w:val="005F22C9"/>
    <w:rsid w:val="005F424A"/>
    <w:rsid w:val="005F4F43"/>
    <w:rsid w:val="005F6FEB"/>
    <w:rsid w:val="005F7FC4"/>
    <w:rsid w:val="00602588"/>
    <w:rsid w:val="00604CC7"/>
    <w:rsid w:val="006054CF"/>
    <w:rsid w:val="00605AC2"/>
    <w:rsid w:val="00625E75"/>
    <w:rsid w:val="00626F09"/>
    <w:rsid w:val="00627911"/>
    <w:rsid w:val="00631ABF"/>
    <w:rsid w:val="006333B8"/>
    <w:rsid w:val="006339F4"/>
    <w:rsid w:val="006340D0"/>
    <w:rsid w:val="00640F12"/>
    <w:rsid w:val="0064305E"/>
    <w:rsid w:val="00650ED1"/>
    <w:rsid w:val="0065270C"/>
    <w:rsid w:val="00652A68"/>
    <w:rsid w:val="0066173B"/>
    <w:rsid w:val="006622E6"/>
    <w:rsid w:val="00662CDD"/>
    <w:rsid w:val="006634F5"/>
    <w:rsid w:val="00663B2F"/>
    <w:rsid w:val="006677C3"/>
    <w:rsid w:val="00667959"/>
    <w:rsid w:val="00667D13"/>
    <w:rsid w:val="00671680"/>
    <w:rsid w:val="00673338"/>
    <w:rsid w:val="00681A10"/>
    <w:rsid w:val="0068288F"/>
    <w:rsid w:val="00684210"/>
    <w:rsid w:val="006857C2"/>
    <w:rsid w:val="0068735A"/>
    <w:rsid w:val="00687B21"/>
    <w:rsid w:val="00693ECC"/>
    <w:rsid w:val="006A3EC5"/>
    <w:rsid w:val="006A428B"/>
    <w:rsid w:val="006A5035"/>
    <w:rsid w:val="006A6343"/>
    <w:rsid w:val="006A6A7A"/>
    <w:rsid w:val="006A7760"/>
    <w:rsid w:val="006A7B1B"/>
    <w:rsid w:val="006B0230"/>
    <w:rsid w:val="006B44C1"/>
    <w:rsid w:val="006B4B40"/>
    <w:rsid w:val="006B5DAF"/>
    <w:rsid w:val="006C0A36"/>
    <w:rsid w:val="006C1B82"/>
    <w:rsid w:val="006C3254"/>
    <w:rsid w:val="006C5483"/>
    <w:rsid w:val="006C6518"/>
    <w:rsid w:val="006D23B7"/>
    <w:rsid w:val="006D2BFF"/>
    <w:rsid w:val="006D37EE"/>
    <w:rsid w:val="006D3930"/>
    <w:rsid w:val="006D7BF7"/>
    <w:rsid w:val="006E3053"/>
    <w:rsid w:val="006E45A2"/>
    <w:rsid w:val="006E495F"/>
    <w:rsid w:val="006E4BA9"/>
    <w:rsid w:val="006E6821"/>
    <w:rsid w:val="006E6C08"/>
    <w:rsid w:val="006E7C69"/>
    <w:rsid w:val="006F0C9B"/>
    <w:rsid w:val="006F0E80"/>
    <w:rsid w:val="006F12ED"/>
    <w:rsid w:val="006F16AC"/>
    <w:rsid w:val="006F219D"/>
    <w:rsid w:val="006F2A6F"/>
    <w:rsid w:val="006F6FFD"/>
    <w:rsid w:val="006F7E83"/>
    <w:rsid w:val="007022EA"/>
    <w:rsid w:val="00704738"/>
    <w:rsid w:val="00706BE5"/>
    <w:rsid w:val="00711445"/>
    <w:rsid w:val="00711A63"/>
    <w:rsid w:val="00712645"/>
    <w:rsid w:val="00713492"/>
    <w:rsid w:val="007134E5"/>
    <w:rsid w:val="00716C56"/>
    <w:rsid w:val="007172F5"/>
    <w:rsid w:val="0072223F"/>
    <w:rsid w:val="00725587"/>
    <w:rsid w:val="00725811"/>
    <w:rsid w:val="00727E8E"/>
    <w:rsid w:val="00730426"/>
    <w:rsid w:val="007338D3"/>
    <w:rsid w:val="007368D8"/>
    <w:rsid w:val="0074022D"/>
    <w:rsid w:val="00740D17"/>
    <w:rsid w:val="00744C81"/>
    <w:rsid w:val="0074634C"/>
    <w:rsid w:val="00750E8E"/>
    <w:rsid w:val="00752790"/>
    <w:rsid w:val="00754008"/>
    <w:rsid w:val="00754874"/>
    <w:rsid w:val="00756CE2"/>
    <w:rsid w:val="007608FA"/>
    <w:rsid w:val="00762FD2"/>
    <w:rsid w:val="007717A7"/>
    <w:rsid w:val="007725D6"/>
    <w:rsid w:val="007806FD"/>
    <w:rsid w:val="00781882"/>
    <w:rsid w:val="00782E28"/>
    <w:rsid w:val="00784EC6"/>
    <w:rsid w:val="007860A2"/>
    <w:rsid w:val="007875BC"/>
    <w:rsid w:val="00790290"/>
    <w:rsid w:val="00791509"/>
    <w:rsid w:val="007924E3"/>
    <w:rsid w:val="007928A9"/>
    <w:rsid w:val="00793D7C"/>
    <w:rsid w:val="00794F69"/>
    <w:rsid w:val="007A4FD7"/>
    <w:rsid w:val="007A6878"/>
    <w:rsid w:val="007A6E0D"/>
    <w:rsid w:val="007A78AD"/>
    <w:rsid w:val="007B26A3"/>
    <w:rsid w:val="007B3CB8"/>
    <w:rsid w:val="007B68F8"/>
    <w:rsid w:val="007B6E5B"/>
    <w:rsid w:val="007C274F"/>
    <w:rsid w:val="007C3F44"/>
    <w:rsid w:val="007C40F7"/>
    <w:rsid w:val="007C5B92"/>
    <w:rsid w:val="007C681C"/>
    <w:rsid w:val="007C69C9"/>
    <w:rsid w:val="007C746E"/>
    <w:rsid w:val="007C7C24"/>
    <w:rsid w:val="007C7F59"/>
    <w:rsid w:val="007D1726"/>
    <w:rsid w:val="007D33CE"/>
    <w:rsid w:val="007D3D62"/>
    <w:rsid w:val="007D6721"/>
    <w:rsid w:val="007E00E6"/>
    <w:rsid w:val="007E115C"/>
    <w:rsid w:val="007E1DA0"/>
    <w:rsid w:val="007E428A"/>
    <w:rsid w:val="007E4FBA"/>
    <w:rsid w:val="007E694D"/>
    <w:rsid w:val="007F00E9"/>
    <w:rsid w:val="007F1660"/>
    <w:rsid w:val="007F1BDF"/>
    <w:rsid w:val="007F1F41"/>
    <w:rsid w:val="007F2D0F"/>
    <w:rsid w:val="007F2E2B"/>
    <w:rsid w:val="008036A9"/>
    <w:rsid w:val="00803ECF"/>
    <w:rsid w:val="00804685"/>
    <w:rsid w:val="00805306"/>
    <w:rsid w:val="00805307"/>
    <w:rsid w:val="00805E13"/>
    <w:rsid w:val="008119FF"/>
    <w:rsid w:val="00812606"/>
    <w:rsid w:val="00813213"/>
    <w:rsid w:val="00815B35"/>
    <w:rsid w:val="00823481"/>
    <w:rsid w:val="00823ABD"/>
    <w:rsid w:val="008260A0"/>
    <w:rsid w:val="0083276E"/>
    <w:rsid w:val="00832867"/>
    <w:rsid w:val="00832A9F"/>
    <w:rsid w:val="00833E24"/>
    <w:rsid w:val="00835EFD"/>
    <w:rsid w:val="00837E4D"/>
    <w:rsid w:val="00837E90"/>
    <w:rsid w:val="008428E1"/>
    <w:rsid w:val="0084373C"/>
    <w:rsid w:val="00844170"/>
    <w:rsid w:val="00856378"/>
    <w:rsid w:val="0085699B"/>
    <w:rsid w:val="00862C26"/>
    <w:rsid w:val="00864F7A"/>
    <w:rsid w:val="00866449"/>
    <w:rsid w:val="0087138B"/>
    <w:rsid w:val="00871421"/>
    <w:rsid w:val="008851CF"/>
    <w:rsid w:val="00887A4F"/>
    <w:rsid w:val="00890638"/>
    <w:rsid w:val="008909CB"/>
    <w:rsid w:val="00893EA4"/>
    <w:rsid w:val="008A2B62"/>
    <w:rsid w:val="008A4A22"/>
    <w:rsid w:val="008A4FE5"/>
    <w:rsid w:val="008A7123"/>
    <w:rsid w:val="008A74E7"/>
    <w:rsid w:val="008A7960"/>
    <w:rsid w:val="008B0DDC"/>
    <w:rsid w:val="008B59A2"/>
    <w:rsid w:val="008B77DE"/>
    <w:rsid w:val="008B7E08"/>
    <w:rsid w:val="008C254B"/>
    <w:rsid w:val="008C26C9"/>
    <w:rsid w:val="008C4B5C"/>
    <w:rsid w:val="008D3CCB"/>
    <w:rsid w:val="008D6DE4"/>
    <w:rsid w:val="008D7BE6"/>
    <w:rsid w:val="008E0FA7"/>
    <w:rsid w:val="008E2060"/>
    <w:rsid w:val="008E4667"/>
    <w:rsid w:val="008E5F6A"/>
    <w:rsid w:val="008E7AAC"/>
    <w:rsid w:val="008F090D"/>
    <w:rsid w:val="008F2E84"/>
    <w:rsid w:val="008F4564"/>
    <w:rsid w:val="008F4865"/>
    <w:rsid w:val="008F7156"/>
    <w:rsid w:val="00900BB7"/>
    <w:rsid w:val="009015DF"/>
    <w:rsid w:val="00903419"/>
    <w:rsid w:val="00904363"/>
    <w:rsid w:val="00905053"/>
    <w:rsid w:val="00906F1A"/>
    <w:rsid w:val="0090749A"/>
    <w:rsid w:val="00907EF8"/>
    <w:rsid w:val="009100B5"/>
    <w:rsid w:val="0091476F"/>
    <w:rsid w:val="00916211"/>
    <w:rsid w:val="009172AF"/>
    <w:rsid w:val="0092021B"/>
    <w:rsid w:val="009210DD"/>
    <w:rsid w:val="009215CF"/>
    <w:rsid w:val="00923154"/>
    <w:rsid w:val="009244A3"/>
    <w:rsid w:val="00925454"/>
    <w:rsid w:val="00927259"/>
    <w:rsid w:val="009303F4"/>
    <w:rsid w:val="0093176E"/>
    <w:rsid w:val="0093481F"/>
    <w:rsid w:val="00944424"/>
    <w:rsid w:val="00945788"/>
    <w:rsid w:val="00950495"/>
    <w:rsid w:val="0095059B"/>
    <w:rsid w:val="009529A2"/>
    <w:rsid w:val="009561E8"/>
    <w:rsid w:val="00964768"/>
    <w:rsid w:val="00964AFD"/>
    <w:rsid w:val="00967510"/>
    <w:rsid w:val="00967CA7"/>
    <w:rsid w:val="00970397"/>
    <w:rsid w:val="00970B68"/>
    <w:rsid w:val="00971479"/>
    <w:rsid w:val="00971DA8"/>
    <w:rsid w:val="009737EA"/>
    <w:rsid w:val="0097395E"/>
    <w:rsid w:val="00975109"/>
    <w:rsid w:val="009774F1"/>
    <w:rsid w:val="00977C70"/>
    <w:rsid w:val="00980475"/>
    <w:rsid w:val="00982A20"/>
    <w:rsid w:val="00982C1B"/>
    <w:rsid w:val="00983746"/>
    <w:rsid w:val="00991716"/>
    <w:rsid w:val="00993718"/>
    <w:rsid w:val="0099432D"/>
    <w:rsid w:val="00996DC0"/>
    <w:rsid w:val="009977B4"/>
    <w:rsid w:val="009A3057"/>
    <w:rsid w:val="009A775D"/>
    <w:rsid w:val="009B08FB"/>
    <w:rsid w:val="009B19E6"/>
    <w:rsid w:val="009B2160"/>
    <w:rsid w:val="009B324E"/>
    <w:rsid w:val="009B4670"/>
    <w:rsid w:val="009B4E23"/>
    <w:rsid w:val="009C0BBA"/>
    <w:rsid w:val="009C379E"/>
    <w:rsid w:val="009C40B6"/>
    <w:rsid w:val="009C4250"/>
    <w:rsid w:val="009C4C41"/>
    <w:rsid w:val="009C71B2"/>
    <w:rsid w:val="009D1369"/>
    <w:rsid w:val="009D1ADC"/>
    <w:rsid w:val="009D33D2"/>
    <w:rsid w:val="009D4D52"/>
    <w:rsid w:val="009E1BBB"/>
    <w:rsid w:val="009E4E78"/>
    <w:rsid w:val="009F072D"/>
    <w:rsid w:val="009F3535"/>
    <w:rsid w:val="009F36DB"/>
    <w:rsid w:val="009F3B20"/>
    <w:rsid w:val="009F3D53"/>
    <w:rsid w:val="009F6923"/>
    <w:rsid w:val="009F704D"/>
    <w:rsid w:val="009F7ED5"/>
    <w:rsid w:val="00A01E7D"/>
    <w:rsid w:val="00A05ED2"/>
    <w:rsid w:val="00A069F8"/>
    <w:rsid w:val="00A12BD1"/>
    <w:rsid w:val="00A15338"/>
    <w:rsid w:val="00A1652F"/>
    <w:rsid w:val="00A16FE9"/>
    <w:rsid w:val="00A22341"/>
    <w:rsid w:val="00A231C8"/>
    <w:rsid w:val="00A2395D"/>
    <w:rsid w:val="00A24657"/>
    <w:rsid w:val="00A24C97"/>
    <w:rsid w:val="00A266C2"/>
    <w:rsid w:val="00A3586D"/>
    <w:rsid w:val="00A35E1A"/>
    <w:rsid w:val="00A35E76"/>
    <w:rsid w:val="00A45086"/>
    <w:rsid w:val="00A467B8"/>
    <w:rsid w:val="00A54517"/>
    <w:rsid w:val="00A55C1A"/>
    <w:rsid w:val="00A57B2E"/>
    <w:rsid w:val="00A63216"/>
    <w:rsid w:val="00A637F2"/>
    <w:rsid w:val="00A63CA3"/>
    <w:rsid w:val="00A64B9C"/>
    <w:rsid w:val="00A70452"/>
    <w:rsid w:val="00A77223"/>
    <w:rsid w:val="00A946D4"/>
    <w:rsid w:val="00A94CD9"/>
    <w:rsid w:val="00A9516D"/>
    <w:rsid w:val="00A957A9"/>
    <w:rsid w:val="00A96B8B"/>
    <w:rsid w:val="00AA029A"/>
    <w:rsid w:val="00AA2D6E"/>
    <w:rsid w:val="00AA36AC"/>
    <w:rsid w:val="00AA483B"/>
    <w:rsid w:val="00AA7531"/>
    <w:rsid w:val="00AB031F"/>
    <w:rsid w:val="00AB240F"/>
    <w:rsid w:val="00AB395A"/>
    <w:rsid w:val="00AB3CA0"/>
    <w:rsid w:val="00AB6C68"/>
    <w:rsid w:val="00AC0158"/>
    <w:rsid w:val="00AC7669"/>
    <w:rsid w:val="00AC7788"/>
    <w:rsid w:val="00AC7F59"/>
    <w:rsid w:val="00AD0164"/>
    <w:rsid w:val="00AD1B0E"/>
    <w:rsid w:val="00AD4A3C"/>
    <w:rsid w:val="00AE05C0"/>
    <w:rsid w:val="00AE109A"/>
    <w:rsid w:val="00AF0C56"/>
    <w:rsid w:val="00AF0E37"/>
    <w:rsid w:val="00AF1E13"/>
    <w:rsid w:val="00AF3BF3"/>
    <w:rsid w:val="00AF4A8E"/>
    <w:rsid w:val="00AF5E0B"/>
    <w:rsid w:val="00AF6886"/>
    <w:rsid w:val="00B01120"/>
    <w:rsid w:val="00B057EA"/>
    <w:rsid w:val="00B13E58"/>
    <w:rsid w:val="00B15448"/>
    <w:rsid w:val="00B15842"/>
    <w:rsid w:val="00B15BC5"/>
    <w:rsid w:val="00B16F80"/>
    <w:rsid w:val="00B170D9"/>
    <w:rsid w:val="00B174FF"/>
    <w:rsid w:val="00B2068E"/>
    <w:rsid w:val="00B27AF3"/>
    <w:rsid w:val="00B3181C"/>
    <w:rsid w:val="00B36AAA"/>
    <w:rsid w:val="00B371B3"/>
    <w:rsid w:val="00B45BF1"/>
    <w:rsid w:val="00B47AB1"/>
    <w:rsid w:val="00B511E2"/>
    <w:rsid w:val="00B517EB"/>
    <w:rsid w:val="00B519C0"/>
    <w:rsid w:val="00B5455E"/>
    <w:rsid w:val="00B603A0"/>
    <w:rsid w:val="00B6079C"/>
    <w:rsid w:val="00B61149"/>
    <w:rsid w:val="00B614D8"/>
    <w:rsid w:val="00B6526C"/>
    <w:rsid w:val="00B66176"/>
    <w:rsid w:val="00B66BD9"/>
    <w:rsid w:val="00B84098"/>
    <w:rsid w:val="00B874F4"/>
    <w:rsid w:val="00B90B30"/>
    <w:rsid w:val="00B90D93"/>
    <w:rsid w:val="00B933E9"/>
    <w:rsid w:val="00B94298"/>
    <w:rsid w:val="00B951FF"/>
    <w:rsid w:val="00B96AFD"/>
    <w:rsid w:val="00B97081"/>
    <w:rsid w:val="00BA2EFC"/>
    <w:rsid w:val="00BA3375"/>
    <w:rsid w:val="00BA5802"/>
    <w:rsid w:val="00BA586A"/>
    <w:rsid w:val="00BB03C1"/>
    <w:rsid w:val="00BB0FCA"/>
    <w:rsid w:val="00BB122C"/>
    <w:rsid w:val="00BB238E"/>
    <w:rsid w:val="00BB23F7"/>
    <w:rsid w:val="00BB2531"/>
    <w:rsid w:val="00BB39D7"/>
    <w:rsid w:val="00BB4F76"/>
    <w:rsid w:val="00BB7986"/>
    <w:rsid w:val="00BC0F4C"/>
    <w:rsid w:val="00BC3524"/>
    <w:rsid w:val="00BC5ABA"/>
    <w:rsid w:val="00BD04D9"/>
    <w:rsid w:val="00BD0B0D"/>
    <w:rsid w:val="00BD3F52"/>
    <w:rsid w:val="00BE1EDF"/>
    <w:rsid w:val="00BE3655"/>
    <w:rsid w:val="00BE3C25"/>
    <w:rsid w:val="00BE7577"/>
    <w:rsid w:val="00BF255C"/>
    <w:rsid w:val="00BF49D6"/>
    <w:rsid w:val="00BF5270"/>
    <w:rsid w:val="00BF6D1D"/>
    <w:rsid w:val="00BF7741"/>
    <w:rsid w:val="00C03439"/>
    <w:rsid w:val="00C0432C"/>
    <w:rsid w:val="00C060E9"/>
    <w:rsid w:val="00C13436"/>
    <w:rsid w:val="00C14554"/>
    <w:rsid w:val="00C14EAB"/>
    <w:rsid w:val="00C1541B"/>
    <w:rsid w:val="00C1680A"/>
    <w:rsid w:val="00C248CB"/>
    <w:rsid w:val="00C25A10"/>
    <w:rsid w:val="00C25F92"/>
    <w:rsid w:val="00C260F2"/>
    <w:rsid w:val="00C33C45"/>
    <w:rsid w:val="00C35863"/>
    <w:rsid w:val="00C42135"/>
    <w:rsid w:val="00C430DD"/>
    <w:rsid w:val="00C441F8"/>
    <w:rsid w:val="00C45C79"/>
    <w:rsid w:val="00C468E2"/>
    <w:rsid w:val="00C46D20"/>
    <w:rsid w:val="00C47F2C"/>
    <w:rsid w:val="00C50E7E"/>
    <w:rsid w:val="00C60AE9"/>
    <w:rsid w:val="00C617FF"/>
    <w:rsid w:val="00C6189A"/>
    <w:rsid w:val="00C620F7"/>
    <w:rsid w:val="00C62A6A"/>
    <w:rsid w:val="00C63CE6"/>
    <w:rsid w:val="00C66C9E"/>
    <w:rsid w:val="00C66F5D"/>
    <w:rsid w:val="00C677C3"/>
    <w:rsid w:val="00C6798A"/>
    <w:rsid w:val="00C67D23"/>
    <w:rsid w:val="00C71252"/>
    <w:rsid w:val="00C71E30"/>
    <w:rsid w:val="00C7421A"/>
    <w:rsid w:val="00C75EC9"/>
    <w:rsid w:val="00C7650F"/>
    <w:rsid w:val="00C7699B"/>
    <w:rsid w:val="00C7766C"/>
    <w:rsid w:val="00C80F52"/>
    <w:rsid w:val="00C81B83"/>
    <w:rsid w:val="00C847EA"/>
    <w:rsid w:val="00C85F04"/>
    <w:rsid w:val="00C91DA9"/>
    <w:rsid w:val="00C93E52"/>
    <w:rsid w:val="00C96C81"/>
    <w:rsid w:val="00C97D6B"/>
    <w:rsid w:val="00CA25F8"/>
    <w:rsid w:val="00CA2649"/>
    <w:rsid w:val="00CA467D"/>
    <w:rsid w:val="00CA4A9A"/>
    <w:rsid w:val="00CA6C47"/>
    <w:rsid w:val="00CB4CB8"/>
    <w:rsid w:val="00CB550A"/>
    <w:rsid w:val="00CB658C"/>
    <w:rsid w:val="00CC11C4"/>
    <w:rsid w:val="00CC1D10"/>
    <w:rsid w:val="00CC5D0A"/>
    <w:rsid w:val="00CD359A"/>
    <w:rsid w:val="00CD42AC"/>
    <w:rsid w:val="00CD6662"/>
    <w:rsid w:val="00CE0330"/>
    <w:rsid w:val="00CE4151"/>
    <w:rsid w:val="00CE4566"/>
    <w:rsid w:val="00CE62E9"/>
    <w:rsid w:val="00CF2E86"/>
    <w:rsid w:val="00CF3466"/>
    <w:rsid w:val="00CF39CD"/>
    <w:rsid w:val="00D007F2"/>
    <w:rsid w:val="00D025E2"/>
    <w:rsid w:val="00D057BB"/>
    <w:rsid w:val="00D06BA8"/>
    <w:rsid w:val="00D13C38"/>
    <w:rsid w:val="00D140D6"/>
    <w:rsid w:val="00D15016"/>
    <w:rsid w:val="00D1794D"/>
    <w:rsid w:val="00D2159C"/>
    <w:rsid w:val="00D230DA"/>
    <w:rsid w:val="00D2451C"/>
    <w:rsid w:val="00D2454B"/>
    <w:rsid w:val="00D2475F"/>
    <w:rsid w:val="00D273B5"/>
    <w:rsid w:val="00D3060D"/>
    <w:rsid w:val="00D31665"/>
    <w:rsid w:val="00D35407"/>
    <w:rsid w:val="00D376D5"/>
    <w:rsid w:val="00D37AC6"/>
    <w:rsid w:val="00D37EFD"/>
    <w:rsid w:val="00D40C59"/>
    <w:rsid w:val="00D4146F"/>
    <w:rsid w:val="00D41580"/>
    <w:rsid w:val="00D41799"/>
    <w:rsid w:val="00D421B9"/>
    <w:rsid w:val="00D424EF"/>
    <w:rsid w:val="00D444FF"/>
    <w:rsid w:val="00D47CB0"/>
    <w:rsid w:val="00D501FD"/>
    <w:rsid w:val="00D51AD5"/>
    <w:rsid w:val="00D52C01"/>
    <w:rsid w:val="00D614E6"/>
    <w:rsid w:val="00D66408"/>
    <w:rsid w:val="00D70332"/>
    <w:rsid w:val="00D73676"/>
    <w:rsid w:val="00D75B26"/>
    <w:rsid w:val="00D77BEF"/>
    <w:rsid w:val="00D80717"/>
    <w:rsid w:val="00D81FE3"/>
    <w:rsid w:val="00D94A45"/>
    <w:rsid w:val="00D9693C"/>
    <w:rsid w:val="00DA235A"/>
    <w:rsid w:val="00DA61DE"/>
    <w:rsid w:val="00DA6FA9"/>
    <w:rsid w:val="00DB0230"/>
    <w:rsid w:val="00DB37DC"/>
    <w:rsid w:val="00DC11BD"/>
    <w:rsid w:val="00DC1C69"/>
    <w:rsid w:val="00DC3BE3"/>
    <w:rsid w:val="00DD0330"/>
    <w:rsid w:val="00DD0524"/>
    <w:rsid w:val="00DD2ED9"/>
    <w:rsid w:val="00DE07C1"/>
    <w:rsid w:val="00DE2B9E"/>
    <w:rsid w:val="00DE509A"/>
    <w:rsid w:val="00DE6654"/>
    <w:rsid w:val="00DE7419"/>
    <w:rsid w:val="00DF1862"/>
    <w:rsid w:val="00DF3DED"/>
    <w:rsid w:val="00DF5FF9"/>
    <w:rsid w:val="00DF69C0"/>
    <w:rsid w:val="00DF6DE1"/>
    <w:rsid w:val="00E0035F"/>
    <w:rsid w:val="00E01D52"/>
    <w:rsid w:val="00E02238"/>
    <w:rsid w:val="00E03AFC"/>
    <w:rsid w:val="00E04E5D"/>
    <w:rsid w:val="00E05BD6"/>
    <w:rsid w:val="00E05C30"/>
    <w:rsid w:val="00E05EE3"/>
    <w:rsid w:val="00E12D40"/>
    <w:rsid w:val="00E20818"/>
    <w:rsid w:val="00E23010"/>
    <w:rsid w:val="00E275EF"/>
    <w:rsid w:val="00E31618"/>
    <w:rsid w:val="00E34B5E"/>
    <w:rsid w:val="00E351F3"/>
    <w:rsid w:val="00E37092"/>
    <w:rsid w:val="00E37EF4"/>
    <w:rsid w:val="00E41902"/>
    <w:rsid w:val="00E41F0E"/>
    <w:rsid w:val="00E42372"/>
    <w:rsid w:val="00E42D72"/>
    <w:rsid w:val="00E436A6"/>
    <w:rsid w:val="00E50783"/>
    <w:rsid w:val="00E50B6C"/>
    <w:rsid w:val="00E51571"/>
    <w:rsid w:val="00E52D72"/>
    <w:rsid w:val="00E54B0F"/>
    <w:rsid w:val="00E607DF"/>
    <w:rsid w:val="00E653F7"/>
    <w:rsid w:val="00E66336"/>
    <w:rsid w:val="00E67194"/>
    <w:rsid w:val="00E72850"/>
    <w:rsid w:val="00E72FEC"/>
    <w:rsid w:val="00E73418"/>
    <w:rsid w:val="00E73A49"/>
    <w:rsid w:val="00E745E5"/>
    <w:rsid w:val="00E74A7B"/>
    <w:rsid w:val="00E75E4B"/>
    <w:rsid w:val="00E813A8"/>
    <w:rsid w:val="00E84BDA"/>
    <w:rsid w:val="00E90FB3"/>
    <w:rsid w:val="00E92ABE"/>
    <w:rsid w:val="00E97134"/>
    <w:rsid w:val="00EA1E16"/>
    <w:rsid w:val="00EA222F"/>
    <w:rsid w:val="00EA44AE"/>
    <w:rsid w:val="00EA7B21"/>
    <w:rsid w:val="00EB11D8"/>
    <w:rsid w:val="00EB5DB9"/>
    <w:rsid w:val="00EB6DD8"/>
    <w:rsid w:val="00EC3E6B"/>
    <w:rsid w:val="00EC4E9B"/>
    <w:rsid w:val="00EC731D"/>
    <w:rsid w:val="00ED2094"/>
    <w:rsid w:val="00ED2B93"/>
    <w:rsid w:val="00ED31E2"/>
    <w:rsid w:val="00ED39D9"/>
    <w:rsid w:val="00ED5DDA"/>
    <w:rsid w:val="00EE15F3"/>
    <w:rsid w:val="00EE2318"/>
    <w:rsid w:val="00EE2A32"/>
    <w:rsid w:val="00EE47C2"/>
    <w:rsid w:val="00EE5ACC"/>
    <w:rsid w:val="00EE6FE8"/>
    <w:rsid w:val="00EE77D0"/>
    <w:rsid w:val="00EF026D"/>
    <w:rsid w:val="00EF07CC"/>
    <w:rsid w:val="00EF3F5F"/>
    <w:rsid w:val="00EF755D"/>
    <w:rsid w:val="00EF7933"/>
    <w:rsid w:val="00F012CC"/>
    <w:rsid w:val="00F03AA2"/>
    <w:rsid w:val="00F052ED"/>
    <w:rsid w:val="00F06C17"/>
    <w:rsid w:val="00F073BF"/>
    <w:rsid w:val="00F11A9F"/>
    <w:rsid w:val="00F11EF6"/>
    <w:rsid w:val="00F13467"/>
    <w:rsid w:val="00F13FE3"/>
    <w:rsid w:val="00F166E4"/>
    <w:rsid w:val="00F23918"/>
    <w:rsid w:val="00F23ED9"/>
    <w:rsid w:val="00F25551"/>
    <w:rsid w:val="00F276E7"/>
    <w:rsid w:val="00F30DD7"/>
    <w:rsid w:val="00F31876"/>
    <w:rsid w:val="00F360DD"/>
    <w:rsid w:val="00F37000"/>
    <w:rsid w:val="00F40AD7"/>
    <w:rsid w:val="00F438FA"/>
    <w:rsid w:val="00F44D2A"/>
    <w:rsid w:val="00F45057"/>
    <w:rsid w:val="00F46649"/>
    <w:rsid w:val="00F528ED"/>
    <w:rsid w:val="00F5620A"/>
    <w:rsid w:val="00F56730"/>
    <w:rsid w:val="00F62E13"/>
    <w:rsid w:val="00F6358C"/>
    <w:rsid w:val="00F63E14"/>
    <w:rsid w:val="00F65CE4"/>
    <w:rsid w:val="00F66BA6"/>
    <w:rsid w:val="00F67FF6"/>
    <w:rsid w:val="00F712B8"/>
    <w:rsid w:val="00F73A23"/>
    <w:rsid w:val="00F80411"/>
    <w:rsid w:val="00F87D7B"/>
    <w:rsid w:val="00F91827"/>
    <w:rsid w:val="00F9238A"/>
    <w:rsid w:val="00F93592"/>
    <w:rsid w:val="00F93FB6"/>
    <w:rsid w:val="00F9496E"/>
    <w:rsid w:val="00F95CB1"/>
    <w:rsid w:val="00FA042B"/>
    <w:rsid w:val="00FA11A1"/>
    <w:rsid w:val="00FA26F4"/>
    <w:rsid w:val="00FB1731"/>
    <w:rsid w:val="00FB69F2"/>
    <w:rsid w:val="00FC5F22"/>
    <w:rsid w:val="00FD285B"/>
    <w:rsid w:val="00FD492C"/>
    <w:rsid w:val="00FE28A6"/>
    <w:rsid w:val="00FE3B13"/>
    <w:rsid w:val="00FE5407"/>
    <w:rsid w:val="00FE7B91"/>
    <w:rsid w:val="00FF1987"/>
    <w:rsid w:val="00FF2331"/>
    <w:rsid w:val="00FF3CB7"/>
    <w:rsid w:val="00FF4653"/>
    <w:rsid w:val="00FF6F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65"/>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3524"/>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42D7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3479C9"/>
    <w:rPr>
      <w:rFonts w:cs="Times New Roman"/>
      <w:sz w:val="20"/>
      <w:szCs w:val="20"/>
    </w:rPr>
  </w:style>
  <w:style w:type="character" w:styleId="PageNumber">
    <w:name w:val="page number"/>
    <w:basedOn w:val="DefaultParagraphFont"/>
    <w:uiPriority w:val="99"/>
    <w:rsid w:val="00E42D72"/>
    <w:rPr>
      <w:rFonts w:cs="Times New Roman"/>
    </w:rPr>
  </w:style>
  <w:style w:type="paragraph" w:styleId="Header">
    <w:name w:val="header"/>
    <w:basedOn w:val="Normal"/>
    <w:link w:val="HeaderChar"/>
    <w:uiPriority w:val="99"/>
    <w:rsid w:val="0003214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32141"/>
    <w:rPr>
      <w:rFonts w:cs="Times New Roman"/>
      <w:kern w:val="2"/>
    </w:rPr>
  </w:style>
  <w:style w:type="character" w:styleId="CommentReference">
    <w:name w:val="annotation reference"/>
    <w:basedOn w:val="DefaultParagraphFont"/>
    <w:uiPriority w:val="99"/>
    <w:rsid w:val="00330302"/>
    <w:rPr>
      <w:rFonts w:cs="Times New Roman"/>
      <w:sz w:val="18"/>
    </w:rPr>
  </w:style>
  <w:style w:type="paragraph" w:styleId="CommentText">
    <w:name w:val="annotation text"/>
    <w:basedOn w:val="Normal"/>
    <w:link w:val="CommentTextChar"/>
    <w:uiPriority w:val="99"/>
    <w:rsid w:val="00330302"/>
  </w:style>
  <w:style w:type="character" w:customStyle="1" w:styleId="CommentTextChar">
    <w:name w:val="Comment Text Char"/>
    <w:basedOn w:val="DefaultParagraphFont"/>
    <w:link w:val="CommentText"/>
    <w:uiPriority w:val="99"/>
    <w:locked/>
    <w:rsid w:val="00330302"/>
    <w:rPr>
      <w:rFonts w:cs="Times New Roman"/>
      <w:kern w:val="2"/>
      <w:sz w:val="24"/>
    </w:rPr>
  </w:style>
  <w:style w:type="paragraph" w:styleId="CommentSubject">
    <w:name w:val="annotation subject"/>
    <w:basedOn w:val="CommentText"/>
    <w:next w:val="CommentText"/>
    <w:link w:val="CommentSubjectChar"/>
    <w:uiPriority w:val="99"/>
    <w:rsid w:val="00330302"/>
    <w:rPr>
      <w:b/>
      <w:bCs/>
    </w:rPr>
  </w:style>
  <w:style w:type="character" w:customStyle="1" w:styleId="CommentSubjectChar">
    <w:name w:val="Comment Subject Char"/>
    <w:basedOn w:val="CommentTextChar"/>
    <w:link w:val="CommentSubject"/>
    <w:uiPriority w:val="99"/>
    <w:locked/>
    <w:rsid w:val="00330302"/>
    <w:rPr>
      <w:b/>
    </w:rPr>
  </w:style>
  <w:style w:type="paragraph" w:styleId="BalloonText">
    <w:name w:val="Balloon Text"/>
    <w:basedOn w:val="Normal"/>
    <w:link w:val="BalloonTextChar"/>
    <w:uiPriority w:val="99"/>
    <w:rsid w:val="00330302"/>
    <w:rPr>
      <w:rFonts w:ascii="Cambria" w:hAnsi="Cambria"/>
      <w:sz w:val="18"/>
      <w:szCs w:val="18"/>
    </w:rPr>
  </w:style>
  <w:style w:type="character" w:customStyle="1" w:styleId="BalloonTextChar">
    <w:name w:val="Balloon Text Char"/>
    <w:basedOn w:val="DefaultParagraphFont"/>
    <w:link w:val="BalloonText"/>
    <w:uiPriority w:val="99"/>
    <w:locked/>
    <w:rsid w:val="00330302"/>
    <w:rPr>
      <w:rFonts w:ascii="Cambria" w:eastAsia="新細明體" w:hAnsi="Cambria" w:cs="Times New Roman"/>
      <w:kern w:val="2"/>
      <w:sz w:val="18"/>
    </w:rPr>
  </w:style>
  <w:style w:type="paragraph" w:styleId="ListParagraph">
    <w:name w:val="List Paragraph"/>
    <w:basedOn w:val="Normal"/>
    <w:uiPriority w:val="99"/>
    <w:qFormat/>
    <w:rsid w:val="00BB238E"/>
    <w:pPr>
      <w:ind w:leftChars="200" w:left="480"/>
    </w:pPr>
  </w:style>
  <w:style w:type="character" w:styleId="Strong">
    <w:name w:val="Strong"/>
    <w:basedOn w:val="DefaultParagraphFont"/>
    <w:uiPriority w:val="99"/>
    <w:qFormat/>
    <w:rsid w:val="00333D8C"/>
    <w:rPr>
      <w:rFonts w:cs="Times New Roman"/>
      <w:b/>
    </w:rPr>
  </w:style>
  <w:style w:type="character" w:styleId="Emphasis">
    <w:name w:val="Emphasis"/>
    <w:basedOn w:val="DefaultParagraphFont"/>
    <w:uiPriority w:val="99"/>
    <w:qFormat/>
    <w:rsid w:val="00333D8C"/>
    <w:rPr>
      <w:rFonts w:cs="Times New Roman"/>
      <w:i/>
    </w:rPr>
  </w:style>
</w:styles>
</file>

<file path=word/webSettings.xml><?xml version="1.0" encoding="utf-8"?>
<w:webSettings xmlns:r="http://schemas.openxmlformats.org/officeDocument/2006/relationships" xmlns:w="http://schemas.openxmlformats.org/wordprocessingml/2006/main">
  <w:divs>
    <w:div w:id="271667960">
      <w:marLeft w:val="0"/>
      <w:marRight w:val="0"/>
      <w:marTop w:val="0"/>
      <w:marBottom w:val="0"/>
      <w:divBdr>
        <w:top w:val="none" w:sz="0" w:space="0" w:color="auto"/>
        <w:left w:val="none" w:sz="0" w:space="0" w:color="auto"/>
        <w:bottom w:val="none" w:sz="0" w:space="0" w:color="auto"/>
        <w:right w:val="none" w:sz="0" w:space="0" w:color="auto"/>
      </w:divBdr>
    </w:div>
    <w:div w:id="271667961">
      <w:marLeft w:val="0"/>
      <w:marRight w:val="0"/>
      <w:marTop w:val="0"/>
      <w:marBottom w:val="0"/>
      <w:divBdr>
        <w:top w:val="none" w:sz="0" w:space="0" w:color="auto"/>
        <w:left w:val="none" w:sz="0" w:space="0" w:color="auto"/>
        <w:bottom w:val="none" w:sz="0" w:space="0" w:color="auto"/>
        <w:right w:val="none" w:sz="0" w:space="0" w:color="auto"/>
      </w:divBdr>
    </w:div>
    <w:div w:id="271667962">
      <w:marLeft w:val="0"/>
      <w:marRight w:val="0"/>
      <w:marTop w:val="0"/>
      <w:marBottom w:val="0"/>
      <w:divBdr>
        <w:top w:val="none" w:sz="0" w:space="0" w:color="auto"/>
        <w:left w:val="none" w:sz="0" w:space="0" w:color="auto"/>
        <w:bottom w:val="none" w:sz="0" w:space="0" w:color="auto"/>
        <w:right w:val="none" w:sz="0" w:space="0" w:color="auto"/>
      </w:divBdr>
    </w:div>
    <w:div w:id="271667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724</TotalTime>
  <Pages>12</Pages>
  <Words>1054</Words>
  <Characters>6009</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「空氣品質模式模擬規範」修正條文對照表</dc:title>
  <dc:subject/>
  <dc:creator>michael</dc:creator>
  <cp:keywords/>
  <dc:description/>
  <cp:lastModifiedBy>yhhsiehyh</cp:lastModifiedBy>
  <cp:revision>45</cp:revision>
  <cp:lastPrinted>2015-07-27T06:17:00Z</cp:lastPrinted>
  <dcterms:created xsi:type="dcterms:W3CDTF">2015-06-01T06:07:00Z</dcterms:created>
  <dcterms:modified xsi:type="dcterms:W3CDTF">2015-07-28T06:32:00Z</dcterms:modified>
</cp:coreProperties>
</file>