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7F1" w:rsidRPr="00F14B5A" w:rsidRDefault="007A17F1" w:rsidP="007A17F1">
      <w:pPr>
        <w:jc w:val="center"/>
        <w:rPr>
          <w:rFonts w:eastAsia="標楷體"/>
          <w:b/>
          <w:bCs/>
          <w:sz w:val="40"/>
          <w:szCs w:val="36"/>
        </w:rPr>
      </w:pPr>
      <w:bookmarkStart w:id="0" w:name="_GoBack"/>
      <w:r w:rsidRPr="00F14B5A">
        <w:rPr>
          <w:rFonts w:eastAsia="標楷體"/>
          <w:b/>
          <w:bCs/>
          <w:sz w:val="40"/>
          <w:szCs w:val="36"/>
        </w:rPr>
        <w:t>相關獎項內容說明</w:t>
      </w:r>
      <w:bookmarkEnd w:id="0"/>
    </w:p>
    <w:tbl>
      <w:tblPr>
        <w:tblStyle w:val="a9"/>
        <w:tblW w:w="9351" w:type="dxa"/>
        <w:jc w:val="center"/>
        <w:tblLook w:val="04A0" w:firstRow="1" w:lastRow="0" w:firstColumn="1" w:lastColumn="0" w:noHBand="0" w:noVBand="1"/>
      </w:tblPr>
      <w:tblGrid>
        <w:gridCol w:w="709"/>
        <w:gridCol w:w="1980"/>
        <w:gridCol w:w="6662"/>
      </w:tblGrid>
      <w:tr w:rsidR="007A17F1" w:rsidRPr="00F14B5A" w:rsidTr="007A17F1">
        <w:trPr>
          <w:trHeight w:val="553"/>
          <w:tblHeader/>
          <w:jc w:val="center"/>
        </w:trPr>
        <w:tc>
          <w:tcPr>
            <w:tcW w:w="709" w:type="dxa"/>
            <w:shd w:val="clear" w:color="auto" w:fill="D9D9D9"/>
            <w:vAlign w:val="center"/>
          </w:tcPr>
          <w:p w:rsidR="007A17F1" w:rsidRPr="00F14B5A" w:rsidRDefault="007A17F1" w:rsidP="00326313">
            <w:pPr>
              <w:jc w:val="center"/>
              <w:rPr>
                <w:rFonts w:eastAsia="標楷體"/>
                <w:b/>
                <w:bCs/>
              </w:rPr>
            </w:pPr>
            <w:r w:rsidRPr="00F14B5A">
              <w:rPr>
                <w:rFonts w:eastAsia="標楷體"/>
                <w:b/>
                <w:bCs/>
              </w:rPr>
              <w:t>項次</w:t>
            </w:r>
          </w:p>
        </w:tc>
        <w:tc>
          <w:tcPr>
            <w:tcW w:w="1980" w:type="dxa"/>
            <w:shd w:val="clear" w:color="auto" w:fill="D9D9D9"/>
            <w:vAlign w:val="center"/>
          </w:tcPr>
          <w:p w:rsidR="007A17F1" w:rsidRPr="00F14B5A" w:rsidRDefault="007A17F1" w:rsidP="00326313">
            <w:pPr>
              <w:jc w:val="center"/>
              <w:rPr>
                <w:rFonts w:eastAsia="標楷體"/>
                <w:b/>
                <w:bCs/>
              </w:rPr>
            </w:pPr>
            <w:r w:rsidRPr="00F14B5A">
              <w:rPr>
                <w:rFonts w:eastAsia="標楷體"/>
                <w:b/>
                <w:bCs/>
              </w:rPr>
              <w:t>獎項名稱</w:t>
            </w:r>
          </w:p>
        </w:tc>
        <w:tc>
          <w:tcPr>
            <w:tcW w:w="6662" w:type="dxa"/>
            <w:shd w:val="clear" w:color="auto" w:fill="D9D9D9"/>
            <w:vAlign w:val="center"/>
          </w:tcPr>
          <w:p w:rsidR="007A17F1" w:rsidRPr="00F14B5A" w:rsidRDefault="007A17F1" w:rsidP="00326313">
            <w:pPr>
              <w:jc w:val="center"/>
              <w:rPr>
                <w:rFonts w:eastAsia="標楷體"/>
                <w:b/>
                <w:bCs/>
              </w:rPr>
            </w:pPr>
            <w:r w:rsidRPr="00F14B5A">
              <w:rPr>
                <w:rFonts w:eastAsia="標楷體"/>
                <w:b/>
                <w:bCs/>
              </w:rPr>
              <w:t>內容</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t>1</w:t>
            </w:r>
          </w:p>
        </w:tc>
        <w:tc>
          <w:tcPr>
            <w:tcW w:w="1980" w:type="dxa"/>
            <w:vAlign w:val="center"/>
          </w:tcPr>
          <w:p w:rsidR="007A17F1" w:rsidRPr="00F14B5A" w:rsidRDefault="007A17F1" w:rsidP="00326313">
            <w:pPr>
              <w:jc w:val="center"/>
              <w:rPr>
                <w:rFonts w:eastAsia="標楷體"/>
              </w:rPr>
            </w:pPr>
            <w:r w:rsidRPr="00F14B5A">
              <w:rPr>
                <w:rFonts w:eastAsia="標楷體"/>
              </w:rPr>
              <w:t>環境教育考核</w:t>
            </w:r>
          </w:p>
        </w:tc>
        <w:tc>
          <w:tcPr>
            <w:tcW w:w="6662" w:type="dxa"/>
            <w:vAlign w:val="center"/>
          </w:tcPr>
          <w:p w:rsidR="007A17F1" w:rsidRPr="00F14B5A" w:rsidRDefault="007A17F1" w:rsidP="00326313">
            <w:pPr>
              <w:jc w:val="both"/>
              <w:rPr>
                <w:rFonts w:eastAsia="標楷體"/>
                <w:color w:val="FF0000"/>
              </w:rPr>
            </w:pPr>
            <w:r w:rsidRPr="00F14B5A">
              <w:rPr>
                <w:rFonts w:eastAsia="標楷體"/>
              </w:rPr>
              <w:t>環境教育績效考核計有</w:t>
            </w:r>
            <w:r w:rsidRPr="00F14B5A">
              <w:rPr>
                <w:rFonts w:eastAsia="標楷體"/>
                <w:color w:val="000000"/>
                <w:kern w:val="0"/>
              </w:rPr>
              <w:t>臺北市、新北市、</w:t>
            </w:r>
            <w:r w:rsidRPr="00F14B5A">
              <w:rPr>
                <w:rFonts w:eastAsia="標楷體"/>
                <w:kern w:val="0"/>
              </w:rPr>
              <w:t>基隆市、桃園市、新竹市、新竹縣、</w:t>
            </w:r>
            <w:proofErr w:type="gramStart"/>
            <w:r w:rsidRPr="00F14B5A">
              <w:rPr>
                <w:rFonts w:eastAsia="標楷體"/>
                <w:color w:val="000000"/>
                <w:kern w:val="0"/>
              </w:rPr>
              <w:t>臺</w:t>
            </w:r>
            <w:proofErr w:type="gramEnd"/>
            <w:r w:rsidRPr="00F14B5A">
              <w:rPr>
                <w:rFonts w:eastAsia="標楷體"/>
                <w:color w:val="000000"/>
                <w:kern w:val="0"/>
              </w:rPr>
              <w:t>中市、</w:t>
            </w:r>
            <w:r w:rsidRPr="00F14B5A">
              <w:rPr>
                <w:rFonts w:eastAsia="標楷體"/>
                <w:kern w:val="0"/>
              </w:rPr>
              <w:t>彰化縣、雲林縣、嘉義市、</w:t>
            </w:r>
            <w:r w:rsidRPr="00F14B5A">
              <w:rPr>
                <w:rFonts w:eastAsia="標楷體"/>
                <w:color w:val="000000"/>
                <w:kern w:val="0"/>
              </w:rPr>
              <w:t>嘉義縣、</w:t>
            </w:r>
            <w:proofErr w:type="gramStart"/>
            <w:r w:rsidRPr="00F14B5A">
              <w:rPr>
                <w:rFonts w:eastAsia="標楷體"/>
                <w:color w:val="000000"/>
                <w:kern w:val="0"/>
              </w:rPr>
              <w:t>臺</w:t>
            </w:r>
            <w:proofErr w:type="gramEnd"/>
            <w:r w:rsidRPr="00F14B5A">
              <w:rPr>
                <w:rFonts w:eastAsia="標楷體"/>
                <w:color w:val="000000"/>
                <w:kern w:val="0"/>
              </w:rPr>
              <w:t>南市、</w:t>
            </w:r>
            <w:r w:rsidRPr="00F14B5A">
              <w:rPr>
                <w:rFonts w:eastAsia="標楷體"/>
                <w:kern w:val="0"/>
              </w:rPr>
              <w:t>高雄市、宜蘭縣、</w:t>
            </w:r>
            <w:r w:rsidRPr="00F14B5A">
              <w:rPr>
                <w:rFonts w:eastAsia="標楷體"/>
                <w:color w:val="000000"/>
                <w:kern w:val="0"/>
              </w:rPr>
              <w:t>屏東縣、花蓮縣、</w:t>
            </w:r>
            <w:proofErr w:type="gramStart"/>
            <w:r w:rsidRPr="00F14B5A">
              <w:rPr>
                <w:rFonts w:eastAsia="標楷體"/>
                <w:kern w:val="0"/>
              </w:rPr>
              <w:t>臺</w:t>
            </w:r>
            <w:proofErr w:type="gramEnd"/>
            <w:r w:rsidRPr="00F14B5A">
              <w:rPr>
                <w:rFonts w:eastAsia="標楷體"/>
                <w:kern w:val="0"/>
              </w:rPr>
              <w:t>東縣、澎湖縣及金門縣</w:t>
            </w:r>
            <w:r w:rsidRPr="00F14B5A">
              <w:rPr>
                <w:rFonts w:eastAsia="標楷體"/>
              </w:rPr>
              <w:t>等</w:t>
            </w:r>
            <w:r w:rsidRPr="00F14B5A">
              <w:rPr>
                <w:rFonts w:eastAsia="標楷體"/>
              </w:rPr>
              <w:t>19</w:t>
            </w:r>
            <w:r w:rsidRPr="00F14B5A">
              <w:rPr>
                <w:rFonts w:eastAsia="標楷體"/>
              </w:rPr>
              <w:t>個縣市榮獲特優。各縣市除了結合地方環境特色、環境資源</w:t>
            </w:r>
            <w:r w:rsidRPr="00F14B5A">
              <w:rPr>
                <w:rFonts w:eastAsia="標楷體"/>
                <w:color w:val="000000"/>
              </w:rPr>
              <w:t>及環境教育設施場所，深耕在地網絡，強化場域與在地交流合作關係，培訓志工及社區推動多元體驗、戶外學</w:t>
            </w:r>
            <w:r w:rsidRPr="00F14B5A">
              <w:rPr>
                <w:rFonts w:eastAsia="標楷體"/>
              </w:rPr>
              <w:t>習等環境教育活動有顯著成效外，更適時將環境保護知識傳遞給民眾，以培養民眾環境知能進而產生行動力，共創藍天、綠地、青山、淨水的永續家園。</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t>2</w:t>
            </w:r>
          </w:p>
        </w:tc>
        <w:tc>
          <w:tcPr>
            <w:tcW w:w="1980" w:type="dxa"/>
            <w:vAlign w:val="center"/>
          </w:tcPr>
          <w:p w:rsidR="007A17F1" w:rsidRPr="00F14B5A" w:rsidRDefault="007A17F1" w:rsidP="00326313">
            <w:pPr>
              <w:jc w:val="center"/>
              <w:rPr>
                <w:rFonts w:eastAsia="標楷體"/>
              </w:rPr>
            </w:pPr>
            <w:r w:rsidRPr="00F14B5A">
              <w:rPr>
                <w:rFonts w:eastAsia="標楷體"/>
              </w:rPr>
              <w:t>環境影響評估審查及監督考核</w:t>
            </w:r>
          </w:p>
        </w:tc>
        <w:tc>
          <w:tcPr>
            <w:tcW w:w="6662" w:type="dxa"/>
            <w:vAlign w:val="center"/>
          </w:tcPr>
          <w:p w:rsidR="007A17F1" w:rsidRPr="00F14B5A" w:rsidRDefault="007A17F1" w:rsidP="00326313">
            <w:pPr>
              <w:jc w:val="both"/>
              <w:rPr>
                <w:rFonts w:eastAsia="標楷體"/>
                <w:color w:val="FF0000"/>
              </w:rPr>
            </w:pPr>
            <w:r w:rsidRPr="00F14B5A">
              <w:rPr>
                <w:rFonts w:eastAsia="標楷體"/>
                <w:color w:val="000000"/>
              </w:rPr>
              <w:t>計有臺北市、新北市、桃園市、</w:t>
            </w:r>
            <w:proofErr w:type="gramStart"/>
            <w:r w:rsidRPr="00F14B5A">
              <w:rPr>
                <w:rFonts w:eastAsia="標楷體"/>
                <w:color w:val="000000"/>
              </w:rPr>
              <w:t>臺</w:t>
            </w:r>
            <w:proofErr w:type="gramEnd"/>
            <w:r w:rsidRPr="00F14B5A">
              <w:rPr>
                <w:rFonts w:eastAsia="標楷體"/>
                <w:color w:val="000000"/>
              </w:rPr>
              <w:t>中市、</w:t>
            </w:r>
            <w:proofErr w:type="gramStart"/>
            <w:r w:rsidRPr="00F14B5A">
              <w:rPr>
                <w:rFonts w:eastAsia="標楷體"/>
                <w:color w:val="000000"/>
              </w:rPr>
              <w:t>臺</w:t>
            </w:r>
            <w:proofErr w:type="gramEnd"/>
            <w:r w:rsidRPr="00F14B5A">
              <w:rPr>
                <w:rFonts w:eastAsia="標楷體"/>
                <w:color w:val="000000"/>
              </w:rPr>
              <w:t>南市、高雄市、宜蘭縣、新竹縣、彰化縣及屏東縣等</w:t>
            </w:r>
            <w:r w:rsidRPr="00F14B5A">
              <w:rPr>
                <w:rFonts w:eastAsia="標楷體"/>
                <w:color w:val="000000"/>
              </w:rPr>
              <w:t>10</w:t>
            </w:r>
            <w:r w:rsidRPr="00F14B5A">
              <w:rPr>
                <w:rFonts w:eastAsia="標楷體"/>
                <w:color w:val="000000"/>
              </w:rPr>
              <w:t>個縣市榮獲特優。各縣市除積極辦理環境影響評估審查外，並落實環境影響評估法預防及減輕開發行為對環境造成不良影響，達成環境保護之目的，同時也建立深度環境影響評估監督查核機制，值得肯定。</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t>3</w:t>
            </w:r>
          </w:p>
        </w:tc>
        <w:tc>
          <w:tcPr>
            <w:tcW w:w="1980" w:type="dxa"/>
            <w:vAlign w:val="center"/>
          </w:tcPr>
          <w:p w:rsidR="007A17F1" w:rsidRPr="00F14B5A" w:rsidRDefault="007A17F1" w:rsidP="00326313">
            <w:pPr>
              <w:jc w:val="center"/>
              <w:rPr>
                <w:rFonts w:eastAsia="標楷體"/>
              </w:rPr>
            </w:pPr>
            <w:r w:rsidRPr="00F14B5A">
              <w:rPr>
                <w:rFonts w:eastAsia="標楷體"/>
                <w:kern w:val="0"/>
                <w:lang w:eastAsia="zh-CN" w:bidi="hi-IN"/>
              </w:rPr>
              <w:t>空氣品質維護改善</w:t>
            </w:r>
            <w:r w:rsidRPr="00F14B5A">
              <w:rPr>
                <w:rFonts w:eastAsia="標楷體"/>
              </w:rPr>
              <w:t>考核</w:t>
            </w:r>
          </w:p>
        </w:tc>
        <w:tc>
          <w:tcPr>
            <w:tcW w:w="6662" w:type="dxa"/>
            <w:vAlign w:val="center"/>
          </w:tcPr>
          <w:p w:rsidR="007A17F1" w:rsidRPr="00F14B5A" w:rsidRDefault="007A17F1" w:rsidP="00326313">
            <w:pPr>
              <w:jc w:val="both"/>
              <w:rPr>
                <w:rFonts w:eastAsia="標楷體"/>
                <w:color w:val="000000"/>
              </w:rPr>
            </w:pPr>
            <w:r w:rsidRPr="00F14B5A">
              <w:rPr>
                <w:rFonts w:eastAsia="標楷體"/>
                <w:color w:val="000000"/>
              </w:rPr>
              <w:t>在中央與地方合作推動「空氣污染防制方案」（</w:t>
            </w:r>
            <w:r w:rsidRPr="00F14B5A">
              <w:rPr>
                <w:rFonts w:eastAsia="標楷體"/>
                <w:color w:val="000000"/>
              </w:rPr>
              <w:t>109</w:t>
            </w:r>
            <w:r w:rsidRPr="00F14B5A">
              <w:rPr>
                <w:rFonts w:eastAsia="標楷體"/>
                <w:color w:val="000000"/>
              </w:rPr>
              <w:t>年至</w:t>
            </w:r>
            <w:r w:rsidRPr="00F14B5A">
              <w:rPr>
                <w:rFonts w:eastAsia="標楷體"/>
                <w:color w:val="000000"/>
              </w:rPr>
              <w:t>112</w:t>
            </w:r>
            <w:r w:rsidRPr="00F14B5A">
              <w:rPr>
                <w:rFonts w:eastAsia="標楷體"/>
                <w:color w:val="000000"/>
              </w:rPr>
              <w:t>年）下，</w:t>
            </w:r>
            <w:r w:rsidRPr="00F14B5A">
              <w:rPr>
                <w:rFonts w:eastAsia="標楷體"/>
                <w:color w:val="000000"/>
              </w:rPr>
              <w:t>110</w:t>
            </w:r>
            <w:r w:rsidRPr="00F14B5A">
              <w:rPr>
                <w:rFonts w:eastAsia="標楷體"/>
                <w:color w:val="000000"/>
              </w:rPr>
              <w:t>年全國臭氧紅色</w:t>
            </w:r>
            <w:proofErr w:type="gramStart"/>
            <w:r w:rsidRPr="00F14B5A">
              <w:rPr>
                <w:rFonts w:eastAsia="標楷體"/>
                <w:color w:val="000000"/>
              </w:rPr>
              <w:t>警示站日</w:t>
            </w:r>
            <w:proofErr w:type="gramEnd"/>
            <w:r w:rsidRPr="00F14B5A">
              <w:rPr>
                <w:rFonts w:eastAsia="標楷體"/>
                <w:color w:val="000000"/>
              </w:rPr>
              <w:t>數較</w:t>
            </w:r>
            <w:r w:rsidRPr="00F14B5A">
              <w:rPr>
                <w:rFonts w:eastAsia="標楷體"/>
                <w:color w:val="000000"/>
              </w:rPr>
              <w:t>109</w:t>
            </w:r>
            <w:r w:rsidRPr="00F14B5A">
              <w:rPr>
                <w:rFonts w:eastAsia="標楷體"/>
                <w:color w:val="000000"/>
              </w:rPr>
              <w:t>年改善近六成，空氣品質的改善已經看到成效。</w:t>
            </w:r>
          </w:p>
          <w:p w:rsidR="007A17F1" w:rsidRPr="00F14B5A" w:rsidRDefault="007A17F1" w:rsidP="003F0782">
            <w:pPr>
              <w:jc w:val="both"/>
              <w:rPr>
                <w:rFonts w:eastAsia="標楷體"/>
                <w:color w:val="000000"/>
              </w:rPr>
            </w:pPr>
            <w:proofErr w:type="gramStart"/>
            <w:r w:rsidRPr="00F14B5A">
              <w:rPr>
                <w:rFonts w:eastAsia="標楷體"/>
                <w:color w:val="000000"/>
              </w:rPr>
              <w:t>110</w:t>
            </w:r>
            <w:proofErr w:type="gramEnd"/>
            <w:r w:rsidRPr="00F14B5A">
              <w:rPr>
                <w:rFonts w:eastAsia="標楷體"/>
                <w:color w:val="000000"/>
              </w:rPr>
              <w:t>年度獲得特優的機關共</w:t>
            </w:r>
            <w:r w:rsidRPr="00F14B5A">
              <w:rPr>
                <w:rFonts w:eastAsia="標楷體"/>
                <w:color w:val="000000"/>
              </w:rPr>
              <w:t>13</w:t>
            </w:r>
            <w:r w:rsidRPr="00F14B5A">
              <w:rPr>
                <w:rFonts w:eastAsia="標楷體"/>
                <w:color w:val="000000"/>
              </w:rPr>
              <w:t>個，優等則有</w:t>
            </w:r>
            <w:r w:rsidRPr="00F14B5A">
              <w:rPr>
                <w:rFonts w:eastAsia="標楷體"/>
                <w:color w:val="000000"/>
              </w:rPr>
              <w:t>7</w:t>
            </w:r>
            <w:r w:rsidRPr="00F14B5A">
              <w:rPr>
                <w:rFonts w:eastAsia="標楷體"/>
                <w:color w:val="000000"/>
              </w:rPr>
              <w:t>個</w:t>
            </w:r>
            <w:r w:rsidR="003F0782" w:rsidRPr="00F14B5A">
              <w:rPr>
                <w:rFonts w:eastAsia="標楷體"/>
                <w:color w:val="000000"/>
              </w:rPr>
              <w:t>，</w:t>
            </w:r>
            <w:r w:rsidRPr="00F14B5A">
              <w:rPr>
                <w:rFonts w:eastAsia="標楷體"/>
                <w:color w:val="000000"/>
              </w:rPr>
              <w:t>所有地方夥伴一起持續推動</w:t>
            </w:r>
            <w:proofErr w:type="gramStart"/>
            <w:r w:rsidRPr="00F14B5A">
              <w:rPr>
                <w:rFonts w:eastAsia="標楷體"/>
                <w:color w:val="000000"/>
              </w:rPr>
              <w:t>每一項空污</w:t>
            </w:r>
            <w:proofErr w:type="gramEnd"/>
            <w:r w:rsidRPr="00F14B5A">
              <w:rPr>
                <w:rFonts w:eastAsia="標楷體"/>
                <w:color w:val="000000"/>
              </w:rPr>
              <w:t>改善工作，提升整體空氣品質，維護國民健康。</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t>4</w:t>
            </w:r>
          </w:p>
        </w:tc>
        <w:tc>
          <w:tcPr>
            <w:tcW w:w="1980" w:type="dxa"/>
            <w:vAlign w:val="center"/>
          </w:tcPr>
          <w:p w:rsidR="007A17F1" w:rsidRPr="00F14B5A" w:rsidRDefault="007A17F1" w:rsidP="00326313">
            <w:pPr>
              <w:jc w:val="center"/>
              <w:rPr>
                <w:rFonts w:eastAsia="標楷體"/>
              </w:rPr>
            </w:pPr>
            <w:r w:rsidRPr="00F14B5A">
              <w:rPr>
                <w:rFonts w:eastAsia="標楷體"/>
              </w:rPr>
              <w:t>水污染防治考核</w:t>
            </w:r>
          </w:p>
        </w:tc>
        <w:tc>
          <w:tcPr>
            <w:tcW w:w="6662" w:type="dxa"/>
            <w:vAlign w:val="center"/>
          </w:tcPr>
          <w:p w:rsidR="007A17F1" w:rsidRPr="00F14B5A" w:rsidRDefault="007A17F1" w:rsidP="00326313">
            <w:pPr>
              <w:jc w:val="both"/>
              <w:rPr>
                <w:rFonts w:eastAsia="標楷體"/>
                <w:color w:val="000000"/>
              </w:rPr>
            </w:pPr>
            <w:proofErr w:type="gramStart"/>
            <w:r w:rsidRPr="00F14B5A">
              <w:rPr>
                <w:rFonts w:eastAsia="標楷體"/>
                <w:color w:val="000000"/>
              </w:rPr>
              <w:t>110</w:t>
            </w:r>
            <w:proofErr w:type="gramEnd"/>
            <w:r w:rsidRPr="00F14B5A">
              <w:rPr>
                <w:rFonts w:eastAsia="標楷體"/>
                <w:color w:val="000000"/>
              </w:rPr>
              <w:t>年度各縣市政府結合地方特色，積極</w:t>
            </w:r>
            <w:r w:rsidR="003F0782" w:rsidRPr="00F14B5A">
              <w:rPr>
                <w:rFonts w:eastAsia="標楷體"/>
                <w:color w:val="000000"/>
              </w:rPr>
              <w:t>推動水污染防治各項工作</w:t>
            </w:r>
            <w:r w:rsidRPr="00F14B5A">
              <w:rPr>
                <w:rFonts w:eastAsia="標楷體"/>
                <w:color w:val="000000"/>
              </w:rPr>
              <w:t>，無論是推動水質現地處理設施、畜牧糞尿資源化等，皆有賴各縣市政府環保、水利機關通力合作，串聯整治量能進而打造生態友善、優質親水的</w:t>
            </w:r>
            <w:proofErr w:type="gramStart"/>
            <w:r w:rsidRPr="00F14B5A">
              <w:rPr>
                <w:rFonts w:eastAsia="標楷體"/>
                <w:color w:val="000000"/>
              </w:rPr>
              <w:t>永續水環境</w:t>
            </w:r>
            <w:proofErr w:type="gramEnd"/>
            <w:r w:rsidRPr="00F14B5A">
              <w:rPr>
                <w:rFonts w:eastAsia="標楷體"/>
                <w:color w:val="000000"/>
              </w:rPr>
              <w:t>，經統計全國河川嚴重污染長度已自</w:t>
            </w:r>
            <w:r w:rsidRPr="00F14B5A">
              <w:rPr>
                <w:rFonts w:eastAsia="標楷體"/>
                <w:color w:val="000000"/>
              </w:rPr>
              <w:t>90</w:t>
            </w:r>
            <w:r w:rsidRPr="00F14B5A">
              <w:rPr>
                <w:rFonts w:eastAsia="標楷體"/>
                <w:color w:val="000000"/>
              </w:rPr>
              <w:t>年的</w:t>
            </w:r>
            <w:r w:rsidRPr="00F14B5A">
              <w:rPr>
                <w:rFonts w:eastAsia="標楷體"/>
                <w:color w:val="000000"/>
              </w:rPr>
              <w:t>13.2%</w:t>
            </w:r>
            <w:r w:rsidRPr="00F14B5A">
              <w:rPr>
                <w:rFonts w:eastAsia="標楷體"/>
                <w:color w:val="000000"/>
              </w:rPr>
              <w:t>，下降至</w:t>
            </w:r>
            <w:r w:rsidRPr="00F14B5A">
              <w:rPr>
                <w:rFonts w:eastAsia="標楷體"/>
                <w:color w:val="000000"/>
              </w:rPr>
              <w:t>110</w:t>
            </w:r>
            <w:r w:rsidRPr="00F14B5A">
              <w:rPr>
                <w:rFonts w:eastAsia="標楷體"/>
                <w:color w:val="000000"/>
              </w:rPr>
              <w:t>年的</w:t>
            </w:r>
            <w:r w:rsidRPr="00F14B5A">
              <w:rPr>
                <w:rFonts w:eastAsia="標楷體"/>
                <w:color w:val="000000"/>
              </w:rPr>
              <w:t>3.7%</w:t>
            </w:r>
            <w:r w:rsidRPr="00F14B5A">
              <w:rPr>
                <w:rFonts w:eastAsia="標楷體"/>
                <w:color w:val="000000"/>
              </w:rPr>
              <w:t>。</w:t>
            </w:r>
          </w:p>
          <w:p w:rsidR="007A17F1" w:rsidRPr="00F14B5A" w:rsidRDefault="007A17F1" w:rsidP="003F340C">
            <w:pPr>
              <w:jc w:val="both"/>
              <w:rPr>
                <w:rFonts w:eastAsia="標楷體"/>
                <w:color w:val="000000"/>
              </w:rPr>
            </w:pPr>
            <w:proofErr w:type="gramStart"/>
            <w:r w:rsidRPr="00F14B5A">
              <w:rPr>
                <w:rFonts w:eastAsia="標楷體"/>
                <w:color w:val="000000"/>
              </w:rPr>
              <w:t>110</w:t>
            </w:r>
            <w:proofErr w:type="gramEnd"/>
            <w:r w:rsidRPr="00F14B5A">
              <w:rPr>
                <w:rFonts w:eastAsia="標楷體"/>
                <w:color w:val="000000"/>
              </w:rPr>
              <w:t>年度獲頒特優獎項縣市計有桃園市、屏東縣與新竹市等</w:t>
            </w:r>
            <w:r w:rsidRPr="00F14B5A">
              <w:rPr>
                <w:rFonts w:eastAsia="標楷體"/>
                <w:color w:val="000000"/>
              </w:rPr>
              <w:t>3</w:t>
            </w:r>
            <w:r w:rsidRPr="00F14B5A">
              <w:rPr>
                <w:rFonts w:eastAsia="標楷體"/>
                <w:color w:val="000000"/>
              </w:rPr>
              <w:t>個縣市，另獲頒優等獎項縣市有基隆市、新北市、彰化縣、雲林縣、嘉義縣、</w:t>
            </w:r>
            <w:proofErr w:type="gramStart"/>
            <w:r w:rsidRPr="00F14B5A">
              <w:rPr>
                <w:rFonts w:eastAsia="標楷體"/>
                <w:color w:val="000000"/>
              </w:rPr>
              <w:t>臺</w:t>
            </w:r>
            <w:proofErr w:type="gramEnd"/>
            <w:r w:rsidRPr="00F14B5A">
              <w:rPr>
                <w:rFonts w:eastAsia="標楷體"/>
                <w:color w:val="000000"/>
              </w:rPr>
              <w:t>南市、花蓮縣與金門縣等</w:t>
            </w:r>
            <w:r w:rsidRPr="00F14B5A">
              <w:rPr>
                <w:rFonts w:eastAsia="標楷體"/>
                <w:color w:val="000000"/>
              </w:rPr>
              <w:t>8</w:t>
            </w:r>
            <w:r w:rsidRPr="00F14B5A">
              <w:rPr>
                <w:rFonts w:eastAsia="標楷體"/>
                <w:color w:val="000000"/>
              </w:rPr>
              <w:t>個縣市。</w:t>
            </w:r>
          </w:p>
        </w:tc>
      </w:tr>
      <w:tr w:rsidR="007A17F1" w:rsidRPr="00F14B5A" w:rsidTr="00326313">
        <w:trPr>
          <w:trHeight w:val="950"/>
          <w:jc w:val="center"/>
        </w:trPr>
        <w:tc>
          <w:tcPr>
            <w:tcW w:w="709" w:type="dxa"/>
            <w:vAlign w:val="center"/>
          </w:tcPr>
          <w:p w:rsidR="007A17F1" w:rsidRPr="00F14B5A" w:rsidRDefault="007A17F1" w:rsidP="00326313">
            <w:pPr>
              <w:jc w:val="center"/>
              <w:rPr>
                <w:rFonts w:eastAsia="標楷體"/>
              </w:rPr>
            </w:pPr>
            <w:r w:rsidRPr="00F14B5A">
              <w:rPr>
                <w:rFonts w:eastAsia="標楷體"/>
              </w:rPr>
              <w:t>5</w:t>
            </w:r>
          </w:p>
        </w:tc>
        <w:tc>
          <w:tcPr>
            <w:tcW w:w="1980" w:type="dxa"/>
            <w:vAlign w:val="center"/>
          </w:tcPr>
          <w:p w:rsidR="007A17F1" w:rsidRPr="00F14B5A" w:rsidRDefault="007A17F1" w:rsidP="00326313">
            <w:pPr>
              <w:jc w:val="center"/>
              <w:rPr>
                <w:rFonts w:eastAsia="標楷體"/>
              </w:rPr>
            </w:pPr>
            <w:r w:rsidRPr="00F14B5A">
              <w:rPr>
                <w:rFonts w:eastAsia="標楷體"/>
              </w:rPr>
              <w:t>資源循環考核</w:t>
            </w:r>
          </w:p>
        </w:tc>
        <w:tc>
          <w:tcPr>
            <w:tcW w:w="6662" w:type="dxa"/>
            <w:vAlign w:val="center"/>
          </w:tcPr>
          <w:p w:rsidR="007A17F1" w:rsidRPr="00F14B5A" w:rsidRDefault="007A17F1" w:rsidP="007A17F1">
            <w:pPr>
              <w:pStyle w:val="ae"/>
              <w:numPr>
                <w:ilvl w:val="0"/>
                <w:numId w:val="32"/>
              </w:numPr>
              <w:ind w:leftChars="0" w:left="284" w:hanging="284"/>
              <w:jc w:val="both"/>
              <w:rPr>
                <w:rFonts w:eastAsia="標楷體"/>
              </w:rPr>
            </w:pPr>
            <w:proofErr w:type="gramStart"/>
            <w:r w:rsidRPr="00F14B5A">
              <w:rPr>
                <w:rFonts w:eastAsia="標楷體"/>
              </w:rPr>
              <w:t>110</w:t>
            </w:r>
            <w:proofErr w:type="gramEnd"/>
            <w:r w:rsidRPr="00F14B5A">
              <w:rPr>
                <w:rFonts w:eastAsia="標楷體"/>
              </w:rPr>
              <w:t>年度計有臺北市、新北市及桃園市等</w:t>
            </w:r>
            <w:r w:rsidRPr="00F14B5A">
              <w:rPr>
                <w:rFonts w:eastAsia="標楷體"/>
              </w:rPr>
              <w:t>3</w:t>
            </w:r>
            <w:r w:rsidRPr="00F14B5A">
              <w:rPr>
                <w:rFonts w:eastAsia="標楷體"/>
              </w:rPr>
              <w:t>縣市榮獲特優，以及</w:t>
            </w:r>
            <w:proofErr w:type="gramStart"/>
            <w:r w:rsidRPr="00F14B5A">
              <w:rPr>
                <w:rFonts w:eastAsia="標楷體"/>
              </w:rPr>
              <w:t>臺</w:t>
            </w:r>
            <w:proofErr w:type="gramEnd"/>
            <w:r w:rsidRPr="00F14B5A">
              <w:rPr>
                <w:rFonts w:eastAsia="標楷體"/>
              </w:rPr>
              <w:t>南市、</w:t>
            </w:r>
            <w:proofErr w:type="gramStart"/>
            <w:r w:rsidRPr="00F14B5A">
              <w:rPr>
                <w:rFonts w:eastAsia="標楷體"/>
              </w:rPr>
              <w:t>臺</w:t>
            </w:r>
            <w:proofErr w:type="gramEnd"/>
            <w:r w:rsidRPr="00F14B5A">
              <w:rPr>
                <w:rFonts w:eastAsia="標楷體"/>
              </w:rPr>
              <w:t>中市、高雄市、宜蘭縣、花蓮縣、新竹縣、新竹市、嘉義縣、嘉義市及屏東縣等</w:t>
            </w:r>
            <w:r w:rsidRPr="00F14B5A">
              <w:rPr>
                <w:rFonts w:eastAsia="標楷體"/>
              </w:rPr>
              <w:t>10</w:t>
            </w:r>
            <w:r w:rsidRPr="00F14B5A">
              <w:rPr>
                <w:rFonts w:eastAsia="標楷體"/>
              </w:rPr>
              <w:t>縣市榮獲分項特優。</w:t>
            </w:r>
          </w:p>
          <w:p w:rsidR="007A17F1" w:rsidRPr="00F14B5A" w:rsidRDefault="007A17F1" w:rsidP="007A17F1">
            <w:pPr>
              <w:pStyle w:val="ae"/>
              <w:numPr>
                <w:ilvl w:val="0"/>
                <w:numId w:val="32"/>
              </w:numPr>
              <w:ind w:leftChars="0" w:left="284" w:hanging="284"/>
              <w:jc w:val="both"/>
              <w:rPr>
                <w:rFonts w:eastAsia="標楷體"/>
              </w:rPr>
            </w:pPr>
            <w:proofErr w:type="gramStart"/>
            <w:r w:rsidRPr="00F14B5A">
              <w:rPr>
                <w:rFonts w:eastAsia="標楷體"/>
              </w:rPr>
              <w:t>110</w:t>
            </w:r>
            <w:proofErr w:type="gramEnd"/>
            <w:r w:rsidRPr="00F14B5A">
              <w:rPr>
                <w:rFonts w:eastAsia="標楷體"/>
              </w:rPr>
              <w:t>年度各縣市政府持續推動一次用產品源頭減量措施及執行稽查作業、強化資源分類回收、提升廢棄物清理機構管理、精進事業廢棄物流向追蹤、健全再利用管理制度及規範，協力建構循環型生產及生活方式，提高廢棄資源回收與再利</w:t>
            </w:r>
            <w:r w:rsidRPr="00F14B5A">
              <w:rPr>
                <w:rFonts w:eastAsia="標楷體"/>
              </w:rPr>
              <w:lastRenderedPageBreak/>
              <w:t>用，邁向全循環零廢棄願景。</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lastRenderedPageBreak/>
              <w:t>6</w:t>
            </w:r>
          </w:p>
        </w:tc>
        <w:tc>
          <w:tcPr>
            <w:tcW w:w="1980" w:type="dxa"/>
            <w:vAlign w:val="center"/>
          </w:tcPr>
          <w:p w:rsidR="007A17F1" w:rsidRPr="00F14B5A" w:rsidRDefault="007A17F1" w:rsidP="00326313">
            <w:pPr>
              <w:jc w:val="center"/>
              <w:rPr>
                <w:rFonts w:eastAsia="標楷體"/>
              </w:rPr>
            </w:pPr>
            <w:r w:rsidRPr="00F14B5A">
              <w:rPr>
                <w:rFonts w:eastAsia="標楷體"/>
              </w:rPr>
              <w:t>推動因應氣候變遷行動考核</w:t>
            </w:r>
          </w:p>
        </w:tc>
        <w:tc>
          <w:tcPr>
            <w:tcW w:w="6662" w:type="dxa"/>
            <w:vAlign w:val="center"/>
          </w:tcPr>
          <w:p w:rsidR="007A17F1" w:rsidRPr="00F14B5A" w:rsidRDefault="007A17F1" w:rsidP="007A17F1">
            <w:pPr>
              <w:pStyle w:val="ae"/>
              <w:numPr>
                <w:ilvl w:val="0"/>
                <w:numId w:val="33"/>
              </w:numPr>
              <w:ind w:leftChars="0" w:left="284" w:hanging="284"/>
              <w:jc w:val="both"/>
              <w:rPr>
                <w:rFonts w:eastAsia="標楷體"/>
              </w:rPr>
            </w:pPr>
            <w:r w:rsidRPr="00F14B5A">
              <w:rPr>
                <w:rFonts w:eastAsia="標楷體"/>
              </w:rPr>
              <w:t>計有臺北市、新北市、桃園市、</w:t>
            </w:r>
            <w:proofErr w:type="gramStart"/>
            <w:r w:rsidRPr="00F14B5A">
              <w:rPr>
                <w:rFonts w:eastAsia="標楷體"/>
              </w:rPr>
              <w:t>臺</w:t>
            </w:r>
            <w:proofErr w:type="gramEnd"/>
            <w:r w:rsidRPr="00F14B5A">
              <w:rPr>
                <w:rFonts w:eastAsia="標楷體"/>
              </w:rPr>
              <w:t>南市、嘉義市、彰化縣、宜蘭縣與</w:t>
            </w:r>
            <w:proofErr w:type="gramStart"/>
            <w:r w:rsidRPr="00F14B5A">
              <w:rPr>
                <w:rFonts w:eastAsia="標楷體"/>
              </w:rPr>
              <w:t>臺</w:t>
            </w:r>
            <w:proofErr w:type="gramEnd"/>
            <w:r w:rsidRPr="00F14B5A">
              <w:rPr>
                <w:rFonts w:eastAsia="標楷體"/>
              </w:rPr>
              <w:t>東縣等</w:t>
            </w:r>
            <w:r w:rsidRPr="00F14B5A">
              <w:rPr>
                <w:rFonts w:eastAsia="標楷體"/>
              </w:rPr>
              <w:t>8</w:t>
            </w:r>
            <w:r w:rsidRPr="00F14B5A">
              <w:rPr>
                <w:rFonts w:eastAsia="標楷體"/>
              </w:rPr>
              <w:t>個縣市榮獲特優，及高雄市、新竹市、苗栗縣、嘉義縣與金門縣等</w:t>
            </w:r>
            <w:r w:rsidRPr="00F14B5A">
              <w:rPr>
                <w:rFonts w:eastAsia="標楷體"/>
              </w:rPr>
              <w:t>5</w:t>
            </w:r>
            <w:r w:rsidRPr="00F14B5A">
              <w:rPr>
                <w:rFonts w:eastAsia="標楷體"/>
              </w:rPr>
              <w:t>個縣市榮獲優等。</w:t>
            </w:r>
          </w:p>
          <w:p w:rsidR="007A17F1" w:rsidRPr="00F14B5A" w:rsidRDefault="007A17F1" w:rsidP="003F0782">
            <w:pPr>
              <w:pStyle w:val="ae"/>
              <w:numPr>
                <w:ilvl w:val="0"/>
                <w:numId w:val="33"/>
              </w:numPr>
              <w:ind w:leftChars="0" w:left="284" w:hanging="284"/>
              <w:jc w:val="both"/>
              <w:rPr>
                <w:rFonts w:eastAsia="標楷體"/>
                <w:color w:val="FF0000"/>
              </w:rPr>
            </w:pPr>
            <w:proofErr w:type="gramStart"/>
            <w:r w:rsidRPr="00F14B5A">
              <w:rPr>
                <w:rFonts w:eastAsia="標楷體"/>
              </w:rPr>
              <w:t>110</w:t>
            </w:r>
            <w:proofErr w:type="gramEnd"/>
            <w:r w:rsidRPr="00F14B5A">
              <w:rPr>
                <w:rFonts w:eastAsia="標楷體"/>
              </w:rPr>
              <w:t>年度縣市政府為了減少溫室氣體排放，跨局處整合轄內資源，採取由內而外、</w:t>
            </w:r>
            <w:proofErr w:type="gramStart"/>
            <w:r w:rsidRPr="00F14B5A">
              <w:rPr>
                <w:rFonts w:eastAsia="標楷體"/>
              </w:rPr>
              <w:t>由公而私</w:t>
            </w:r>
            <w:proofErr w:type="gramEnd"/>
            <w:r w:rsidRPr="00F14B5A">
              <w:rPr>
                <w:rFonts w:eastAsia="標楷體"/>
              </w:rPr>
              <w:t>方式，配合中央能源政策，以綠色能源、綠色運輸、循環經濟及永續生活等主軸推動各項減量行動，包含推動太陽能光電系統、智能電網、推動綠色運輸及落實各部門碳排放量盤查</w:t>
            </w:r>
            <w:r w:rsidR="003F0782" w:rsidRPr="00F14B5A">
              <w:rPr>
                <w:rFonts w:eastAsia="標楷體"/>
              </w:rPr>
              <w:t>，</w:t>
            </w:r>
            <w:r w:rsidRPr="00F14B5A">
              <w:rPr>
                <w:rFonts w:eastAsia="標楷體"/>
              </w:rPr>
              <w:t>調適方面運用環境營造，</w:t>
            </w:r>
            <w:proofErr w:type="gramStart"/>
            <w:r w:rsidRPr="00F14B5A">
              <w:rPr>
                <w:rFonts w:eastAsia="標楷體"/>
              </w:rPr>
              <w:t>採</w:t>
            </w:r>
            <w:proofErr w:type="gramEnd"/>
            <w:r w:rsidRPr="00F14B5A">
              <w:rPr>
                <w:rFonts w:eastAsia="標楷體"/>
              </w:rPr>
              <w:t>「</w:t>
            </w:r>
            <w:proofErr w:type="gramStart"/>
            <w:r w:rsidRPr="00F14B5A">
              <w:rPr>
                <w:rFonts w:eastAsia="標楷體"/>
              </w:rPr>
              <w:t>雨水積磚</w:t>
            </w:r>
            <w:proofErr w:type="gramEnd"/>
            <w:r w:rsidRPr="00F14B5A">
              <w:rPr>
                <w:rFonts w:eastAsia="標楷體"/>
              </w:rPr>
              <w:t>」設置地下儲水設施、建立社區</w:t>
            </w:r>
            <w:proofErr w:type="gramStart"/>
            <w:r w:rsidRPr="00F14B5A">
              <w:rPr>
                <w:rFonts w:eastAsia="標楷體"/>
              </w:rPr>
              <w:t>低碳永續</w:t>
            </w:r>
            <w:proofErr w:type="gramEnd"/>
            <w:r w:rsidRPr="00F14B5A">
              <w:rPr>
                <w:rFonts w:eastAsia="標楷體"/>
              </w:rPr>
              <w:t>發展培力及打造</w:t>
            </w:r>
            <w:proofErr w:type="gramStart"/>
            <w:r w:rsidRPr="00F14B5A">
              <w:rPr>
                <w:rFonts w:eastAsia="標楷體"/>
              </w:rPr>
              <w:t>低碳島等</w:t>
            </w:r>
            <w:proofErr w:type="gramEnd"/>
            <w:r w:rsidRPr="00F14B5A">
              <w:rPr>
                <w:rFonts w:eastAsia="標楷體"/>
              </w:rPr>
              <w:t>，以各項創新作為，</w:t>
            </w:r>
            <w:r w:rsidR="003F0782" w:rsidRPr="00F14B5A">
              <w:rPr>
                <w:rFonts w:eastAsia="標楷體"/>
              </w:rPr>
              <w:t>期</w:t>
            </w:r>
            <w:r w:rsidRPr="00F14B5A">
              <w:rPr>
                <w:rFonts w:eastAsia="標楷體"/>
              </w:rPr>
              <w:t>達到</w:t>
            </w:r>
            <w:r w:rsidRPr="00F14B5A">
              <w:rPr>
                <w:rFonts w:eastAsia="標楷體"/>
              </w:rPr>
              <w:t xml:space="preserve"> </w:t>
            </w:r>
            <w:proofErr w:type="gramStart"/>
            <w:r w:rsidRPr="00F14B5A">
              <w:rPr>
                <w:rFonts w:eastAsia="標楷體"/>
              </w:rPr>
              <w:t>2050</w:t>
            </w:r>
            <w:r w:rsidRPr="00F14B5A">
              <w:rPr>
                <w:rFonts w:eastAsia="標楷體"/>
              </w:rPr>
              <w:t>年</w:t>
            </w:r>
            <w:r w:rsidR="003F0782" w:rsidRPr="00F14B5A">
              <w:rPr>
                <w:rFonts w:eastAsia="標楷體"/>
              </w:rPr>
              <w:t>淨零排放</w:t>
            </w:r>
            <w:proofErr w:type="gramEnd"/>
            <w:r w:rsidRPr="00F14B5A">
              <w:rPr>
                <w:rFonts w:eastAsia="標楷體"/>
              </w:rPr>
              <w:t>目標。</w:t>
            </w:r>
          </w:p>
        </w:tc>
      </w:tr>
      <w:tr w:rsidR="007A17F1" w:rsidRPr="00F14B5A" w:rsidTr="00326313">
        <w:trPr>
          <w:trHeight w:val="4781"/>
          <w:jc w:val="center"/>
        </w:trPr>
        <w:tc>
          <w:tcPr>
            <w:tcW w:w="709" w:type="dxa"/>
            <w:vAlign w:val="center"/>
          </w:tcPr>
          <w:p w:rsidR="007A17F1" w:rsidRPr="00F14B5A" w:rsidRDefault="007A17F1" w:rsidP="00326313">
            <w:pPr>
              <w:jc w:val="center"/>
              <w:rPr>
                <w:rFonts w:eastAsia="標楷體"/>
              </w:rPr>
            </w:pPr>
            <w:r w:rsidRPr="00F14B5A">
              <w:rPr>
                <w:rFonts w:eastAsia="標楷體"/>
              </w:rPr>
              <w:t>7</w:t>
            </w:r>
          </w:p>
        </w:tc>
        <w:tc>
          <w:tcPr>
            <w:tcW w:w="1980" w:type="dxa"/>
            <w:vAlign w:val="center"/>
          </w:tcPr>
          <w:p w:rsidR="007A17F1" w:rsidRPr="00F14B5A" w:rsidRDefault="007A17F1" w:rsidP="00326313">
            <w:pPr>
              <w:jc w:val="center"/>
              <w:rPr>
                <w:rFonts w:eastAsia="標楷體"/>
              </w:rPr>
            </w:pPr>
            <w:r w:rsidRPr="00F14B5A">
              <w:rPr>
                <w:rFonts w:eastAsia="標楷體"/>
              </w:rPr>
              <w:t>全民綠生活暨公害糾紛處理考核</w:t>
            </w:r>
          </w:p>
        </w:tc>
        <w:tc>
          <w:tcPr>
            <w:tcW w:w="6662" w:type="dxa"/>
            <w:vAlign w:val="center"/>
          </w:tcPr>
          <w:p w:rsidR="003F340C" w:rsidRPr="00F14B5A" w:rsidRDefault="007A17F1" w:rsidP="003F340C">
            <w:pPr>
              <w:jc w:val="both"/>
              <w:rPr>
                <w:rFonts w:eastAsia="標楷體"/>
                <w:color w:val="000000"/>
              </w:rPr>
            </w:pPr>
            <w:proofErr w:type="gramStart"/>
            <w:r w:rsidRPr="00F14B5A">
              <w:rPr>
                <w:rFonts w:eastAsia="標楷體"/>
                <w:color w:val="000000"/>
              </w:rPr>
              <w:t>110</w:t>
            </w:r>
            <w:proofErr w:type="gramEnd"/>
            <w:r w:rsidRPr="00F14B5A">
              <w:rPr>
                <w:rFonts w:eastAsia="標楷體"/>
                <w:color w:val="000000"/>
              </w:rPr>
              <w:t>年度全民綠生活暨公害糾紛處理考核之績優縣市包括臺北市、桃園市、</w:t>
            </w:r>
            <w:proofErr w:type="gramStart"/>
            <w:r w:rsidRPr="00F14B5A">
              <w:rPr>
                <w:rFonts w:eastAsia="標楷體"/>
                <w:color w:val="000000"/>
              </w:rPr>
              <w:t>臺</w:t>
            </w:r>
            <w:proofErr w:type="gramEnd"/>
            <w:r w:rsidRPr="00F14B5A">
              <w:rPr>
                <w:rFonts w:eastAsia="標楷體"/>
                <w:color w:val="000000"/>
              </w:rPr>
              <w:t>南市、高雄市、宜蘭縣、苗栗縣、嘉義縣、</w:t>
            </w:r>
            <w:proofErr w:type="gramStart"/>
            <w:r w:rsidRPr="00F14B5A">
              <w:rPr>
                <w:rFonts w:eastAsia="標楷體"/>
                <w:color w:val="000000"/>
              </w:rPr>
              <w:t>臺</w:t>
            </w:r>
            <w:proofErr w:type="gramEnd"/>
            <w:r w:rsidRPr="00F14B5A">
              <w:rPr>
                <w:rFonts w:eastAsia="標楷體"/>
                <w:color w:val="000000"/>
              </w:rPr>
              <w:t>東縣、嘉義市及金門縣等</w:t>
            </w:r>
            <w:r w:rsidRPr="00F14B5A">
              <w:rPr>
                <w:rFonts w:eastAsia="標楷體"/>
                <w:color w:val="000000"/>
              </w:rPr>
              <w:t>10</w:t>
            </w:r>
            <w:r w:rsidRPr="00F14B5A">
              <w:rPr>
                <w:rFonts w:eastAsia="標楷體"/>
                <w:color w:val="000000"/>
              </w:rPr>
              <w:t>個縣市</w:t>
            </w:r>
            <w:r w:rsidR="003F340C" w:rsidRPr="00F14B5A">
              <w:rPr>
                <w:rFonts w:eastAsia="標楷體"/>
                <w:color w:val="000000"/>
              </w:rPr>
              <w:t>。</w:t>
            </w:r>
          </w:p>
          <w:p w:rsidR="007A17F1" w:rsidRPr="00F14B5A" w:rsidRDefault="007A17F1" w:rsidP="003F340C">
            <w:pPr>
              <w:jc w:val="both"/>
              <w:rPr>
                <w:rFonts w:eastAsia="標楷體"/>
                <w:color w:val="000000"/>
              </w:rPr>
            </w:pPr>
            <w:r w:rsidRPr="00F14B5A">
              <w:rPr>
                <w:rFonts w:eastAsia="標楷體"/>
                <w:color w:val="000000"/>
              </w:rPr>
              <w:t>110</w:t>
            </w:r>
            <w:r w:rsidRPr="00F14B5A">
              <w:rPr>
                <w:rFonts w:eastAsia="標楷體"/>
                <w:color w:val="000000"/>
              </w:rPr>
              <w:t>年民間企業與團體綠色採購及一般民眾綠色消費合計金額達</w:t>
            </w:r>
            <w:r w:rsidRPr="00F14B5A">
              <w:rPr>
                <w:rFonts w:eastAsia="標楷體"/>
                <w:color w:val="000000"/>
              </w:rPr>
              <w:t>1,110</w:t>
            </w:r>
            <w:r w:rsidRPr="00F14B5A">
              <w:rPr>
                <w:rFonts w:eastAsia="標楷體"/>
                <w:color w:val="000000"/>
              </w:rPr>
              <w:t>億元，相較</w:t>
            </w:r>
            <w:proofErr w:type="gramStart"/>
            <w:r w:rsidRPr="00F14B5A">
              <w:rPr>
                <w:rFonts w:eastAsia="標楷體"/>
                <w:color w:val="000000"/>
              </w:rPr>
              <w:t>109</w:t>
            </w:r>
            <w:proofErr w:type="gramEnd"/>
            <w:r w:rsidRPr="00F14B5A">
              <w:rPr>
                <w:rFonts w:eastAsia="標楷體"/>
                <w:color w:val="000000"/>
              </w:rPr>
              <w:t>年度</w:t>
            </w:r>
            <w:r w:rsidRPr="00F14B5A">
              <w:rPr>
                <w:rFonts w:eastAsia="標楷體"/>
                <w:color w:val="000000"/>
              </w:rPr>
              <w:t>1,049</w:t>
            </w:r>
            <w:r w:rsidRPr="00F14B5A">
              <w:rPr>
                <w:rFonts w:eastAsia="標楷體"/>
                <w:color w:val="000000"/>
              </w:rPr>
              <w:t>億元成長超過</w:t>
            </w:r>
            <w:r w:rsidRPr="00F14B5A">
              <w:rPr>
                <w:rFonts w:eastAsia="標楷體"/>
                <w:color w:val="000000"/>
              </w:rPr>
              <w:t>5%</w:t>
            </w:r>
            <w:r w:rsidRPr="00F14B5A">
              <w:rPr>
                <w:rFonts w:eastAsia="標楷體"/>
                <w:color w:val="000000"/>
              </w:rPr>
              <w:t>，另推動綠色餐廳、環保標章旅館及環保旅店達</w:t>
            </w:r>
            <w:r w:rsidRPr="00F14B5A">
              <w:rPr>
                <w:rFonts w:eastAsia="標楷體"/>
                <w:color w:val="000000"/>
              </w:rPr>
              <w:t>630</w:t>
            </w:r>
            <w:r w:rsidRPr="00F14B5A">
              <w:rPr>
                <w:rFonts w:eastAsia="標楷體"/>
                <w:color w:val="000000"/>
              </w:rPr>
              <w:t>家；為推廣產品碳足跡標籤，共辦理</w:t>
            </w:r>
            <w:r w:rsidRPr="00F14B5A">
              <w:rPr>
                <w:rFonts w:eastAsia="標楷體"/>
                <w:color w:val="000000"/>
              </w:rPr>
              <w:t>102</w:t>
            </w:r>
            <w:r w:rsidRPr="00F14B5A">
              <w:rPr>
                <w:rFonts w:eastAsia="標楷體"/>
                <w:color w:val="000000"/>
              </w:rPr>
              <w:t>場教育宣傳活動、</w:t>
            </w:r>
            <w:r w:rsidRPr="00F14B5A">
              <w:rPr>
                <w:rFonts w:eastAsia="標楷體"/>
                <w:color w:val="000000"/>
              </w:rPr>
              <w:t>55</w:t>
            </w:r>
            <w:r w:rsidRPr="00F14B5A">
              <w:rPr>
                <w:rFonts w:eastAsia="標楷體"/>
                <w:color w:val="000000"/>
              </w:rPr>
              <w:t>則媒體露出及輔導</w:t>
            </w:r>
            <w:r w:rsidRPr="00F14B5A">
              <w:rPr>
                <w:rFonts w:eastAsia="標楷體"/>
                <w:color w:val="000000"/>
              </w:rPr>
              <w:t>11</w:t>
            </w:r>
            <w:r w:rsidRPr="00F14B5A">
              <w:rPr>
                <w:rFonts w:eastAsia="標楷體"/>
                <w:color w:val="000000"/>
              </w:rPr>
              <w:t>家業者取得產品碳足跡標籤；另為讓民眾瞭解面臨公害糾紛時之自身權益保護觀念，並增進機關同仁處理公害糾紛事件經驗，共辦理</w:t>
            </w:r>
            <w:r w:rsidRPr="00F14B5A">
              <w:rPr>
                <w:rFonts w:eastAsia="標楷體"/>
                <w:color w:val="000000"/>
              </w:rPr>
              <w:t>104</w:t>
            </w:r>
            <w:r w:rsidRPr="00F14B5A">
              <w:rPr>
                <w:rFonts w:eastAsia="標楷體"/>
                <w:color w:val="000000"/>
              </w:rPr>
              <w:t>場公害糾紛宣導說明會及教育訓練。環保署表示，如此豐碩的成果，有賴地方政府的努力及配合，共同落實綠色採購與實踐綠色消費理念，促進綠色經濟發展，並讓全民享有健康安全的綠生活環境。</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t>8</w:t>
            </w:r>
          </w:p>
        </w:tc>
        <w:tc>
          <w:tcPr>
            <w:tcW w:w="1980" w:type="dxa"/>
            <w:vAlign w:val="center"/>
          </w:tcPr>
          <w:p w:rsidR="007A17F1" w:rsidRPr="00F14B5A" w:rsidRDefault="007A17F1" w:rsidP="00326313">
            <w:pPr>
              <w:jc w:val="center"/>
              <w:rPr>
                <w:rFonts w:eastAsia="標楷體"/>
              </w:rPr>
            </w:pPr>
            <w:r w:rsidRPr="00F14B5A">
              <w:rPr>
                <w:rFonts w:eastAsia="標楷體"/>
              </w:rPr>
              <w:t>環境監測及資訊應用考核</w:t>
            </w:r>
          </w:p>
        </w:tc>
        <w:tc>
          <w:tcPr>
            <w:tcW w:w="6662" w:type="dxa"/>
            <w:vAlign w:val="center"/>
          </w:tcPr>
          <w:p w:rsidR="007A17F1" w:rsidRPr="00F14B5A" w:rsidRDefault="007A17F1" w:rsidP="00326313">
            <w:pPr>
              <w:jc w:val="both"/>
              <w:rPr>
                <w:rFonts w:eastAsia="標楷體"/>
                <w:color w:val="FF0000"/>
              </w:rPr>
            </w:pPr>
            <w:r w:rsidRPr="00F14B5A">
              <w:rPr>
                <w:rFonts w:eastAsia="標楷體"/>
                <w:color w:val="000000"/>
              </w:rPr>
              <w:t>計有臺北市、新北市、桃園市、</w:t>
            </w:r>
            <w:proofErr w:type="gramStart"/>
            <w:r w:rsidRPr="00F14B5A">
              <w:rPr>
                <w:rFonts w:eastAsia="標楷體"/>
                <w:color w:val="000000"/>
              </w:rPr>
              <w:t>臺</w:t>
            </w:r>
            <w:proofErr w:type="gramEnd"/>
            <w:r w:rsidRPr="00F14B5A">
              <w:rPr>
                <w:rFonts w:eastAsia="標楷體"/>
                <w:color w:val="000000"/>
              </w:rPr>
              <w:t>中市、</w:t>
            </w:r>
            <w:proofErr w:type="gramStart"/>
            <w:r w:rsidRPr="00F14B5A">
              <w:rPr>
                <w:rFonts w:eastAsia="標楷體"/>
                <w:color w:val="000000"/>
              </w:rPr>
              <w:t>臺</w:t>
            </w:r>
            <w:proofErr w:type="gramEnd"/>
            <w:r w:rsidRPr="00F14B5A">
              <w:rPr>
                <w:rFonts w:eastAsia="標楷體"/>
                <w:color w:val="000000"/>
              </w:rPr>
              <w:t>南市、高雄市、苗栗縣、彰化縣、雲林縣、嘉義縣、屏東縣及新竹市等</w:t>
            </w:r>
            <w:r w:rsidRPr="00F14B5A">
              <w:rPr>
                <w:rFonts w:eastAsia="標楷體"/>
                <w:color w:val="000000"/>
              </w:rPr>
              <w:t>12</w:t>
            </w:r>
            <w:r w:rsidRPr="00F14B5A">
              <w:rPr>
                <w:rFonts w:eastAsia="標楷體"/>
                <w:color w:val="000000"/>
              </w:rPr>
              <w:t>個縣市榮獲特優，及基隆市與嘉義市等</w:t>
            </w:r>
            <w:r w:rsidRPr="00F14B5A">
              <w:rPr>
                <w:rFonts w:eastAsia="標楷體"/>
                <w:color w:val="000000"/>
              </w:rPr>
              <w:t>2</w:t>
            </w:r>
            <w:r w:rsidRPr="00F14B5A">
              <w:rPr>
                <w:rFonts w:eastAsia="標楷體"/>
                <w:color w:val="000000"/>
              </w:rPr>
              <w:t>個縣市榮獲優等。環保署表示，中央與地方政府攜手維護空氣品質監測站網與</w:t>
            </w:r>
            <w:proofErr w:type="gramStart"/>
            <w:r w:rsidRPr="00F14B5A">
              <w:rPr>
                <w:rFonts w:eastAsia="標楷體"/>
                <w:color w:val="000000"/>
              </w:rPr>
              <w:t>空污感測</w:t>
            </w:r>
            <w:proofErr w:type="gramEnd"/>
            <w:r w:rsidRPr="00F14B5A">
              <w:rPr>
                <w:rFonts w:eastAsia="標楷體"/>
                <w:color w:val="000000"/>
              </w:rPr>
              <w:t>器數據品質，運用環境監測、感測及遙測資訊於輔助地方環境改善，並將環保署補助委辦計畫成果上傳至環保專案成果報告查詢系統供民眾查詢，除善用資訊於加強污染或高風險污染源的監測及改善外，也充分落實資訊公開。</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t>9</w:t>
            </w:r>
          </w:p>
        </w:tc>
        <w:tc>
          <w:tcPr>
            <w:tcW w:w="1980" w:type="dxa"/>
            <w:vAlign w:val="center"/>
          </w:tcPr>
          <w:p w:rsidR="007A17F1" w:rsidRPr="00F14B5A" w:rsidRDefault="007A17F1" w:rsidP="00326313">
            <w:pPr>
              <w:jc w:val="center"/>
              <w:rPr>
                <w:rFonts w:eastAsia="標楷體"/>
              </w:rPr>
            </w:pPr>
            <w:r w:rsidRPr="00F14B5A">
              <w:rPr>
                <w:rFonts w:eastAsia="標楷體"/>
              </w:rPr>
              <w:t>永續發展考核</w:t>
            </w:r>
          </w:p>
        </w:tc>
        <w:tc>
          <w:tcPr>
            <w:tcW w:w="6662" w:type="dxa"/>
            <w:vAlign w:val="center"/>
          </w:tcPr>
          <w:p w:rsidR="007A17F1" w:rsidRPr="00F14B5A" w:rsidRDefault="007A17F1" w:rsidP="00326313">
            <w:pPr>
              <w:jc w:val="both"/>
              <w:rPr>
                <w:rFonts w:eastAsia="標楷體"/>
                <w:color w:val="000000"/>
              </w:rPr>
            </w:pPr>
            <w:r w:rsidRPr="00F14B5A">
              <w:rPr>
                <w:rFonts w:eastAsia="標楷體"/>
                <w:color w:val="000000"/>
              </w:rPr>
              <w:t>110</w:t>
            </w:r>
            <w:r w:rsidRPr="00F14B5A">
              <w:rPr>
                <w:rFonts w:eastAsia="標楷體"/>
                <w:color w:val="000000"/>
              </w:rPr>
              <w:t>年首次將永續發展納入地方考評項目，積極期待邁向永續發展的地方環境，也能與國際接軌，並重視在地化的發展需要，</w:t>
            </w:r>
            <w:r w:rsidRPr="00F14B5A">
              <w:rPr>
                <w:rFonts w:eastAsia="標楷體"/>
                <w:color w:val="000000"/>
              </w:rPr>
              <w:lastRenderedPageBreak/>
              <w:t>以達成</w:t>
            </w:r>
            <w:r w:rsidRPr="00F14B5A">
              <w:rPr>
                <w:rFonts w:eastAsia="標楷體"/>
                <w:color w:val="000000"/>
              </w:rPr>
              <w:t>2030</w:t>
            </w:r>
            <w:r w:rsidRPr="00F14B5A">
              <w:rPr>
                <w:rFonts w:eastAsia="標楷體"/>
                <w:color w:val="000000"/>
              </w:rPr>
              <w:t>年永續發展目標為願景，透過地方環保局的共同攜手努力完成我國永續發展藍圖。</w:t>
            </w:r>
            <w:proofErr w:type="gramStart"/>
            <w:r w:rsidRPr="00F14B5A">
              <w:rPr>
                <w:rFonts w:eastAsia="標楷體"/>
                <w:color w:val="000000"/>
              </w:rPr>
              <w:t>110</w:t>
            </w:r>
            <w:proofErr w:type="gramEnd"/>
            <w:r w:rsidRPr="00F14B5A">
              <w:rPr>
                <w:rFonts w:eastAsia="標楷體"/>
                <w:color w:val="000000"/>
              </w:rPr>
              <w:t>年度永續發展考核共有</w:t>
            </w:r>
            <w:r w:rsidRPr="00F14B5A">
              <w:rPr>
                <w:rFonts w:eastAsia="標楷體"/>
                <w:color w:val="000000"/>
              </w:rPr>
              <w:t>16</w:t>
            </w:r>
            <w:r w:rsidRPr="00F14B5A">
              <w:rPr>
                <w:rFonts w:eastAsia="標楷體"/>
                <w:color w:val="000000"/>
              </w:rPr>
              <w:t>個縣市榮獲特優，分別為臺北市、新北市、桃園市、</w:t>
            </w:r>
            <w:proofErr w:type="gramStart"/>
            <w:r w:rsidRPr="00F14B5A">
              <w:rPr>
                <w:rFonts w:eastAsia="標楷體"/>
                <w:color w:val="000000"/>
              </w:rPr>
              <w:t>臺</w:t>
            </w:r>
            <w:proofErr w:type="gramEnd"/>
            <w:r w:rsidRPr="00F14B5A">
              <w:rPr>
                <w:rFonts w:eastAsia="標楷體"/>
                <w:color w:val="000000"/>
              </w:rPr>
              <w:t>中市、</w:t>
            </w:r>
            <w:proofErr w:type="gramStart"/>
            <w:r w:rsidRPr="00F14B5A">
              <w:rPr>
                <w:rFonts w:eastAsia="標楷體"/>
                <w:color w:val="000000"/>
              </w:rPr>
              <w:t>臺</w:t>
            </w:r>
            <w:proofErr w:type="gramEnd"/>
            <w:r w:rsidRPr="00F14B5A">
              <w:rPr>
                <w:rFonts w:eastAsia="標楷體"/>
                <w:color w:val="000000"/>
              </w:rPr>
              <w:t>南市、高雄市、宜蘭縣、新竹縣、苗栗縣、雲林縣、嘉義縣、屏東縣、花蓮縣、基隆市、嘉義市及金門縣；另有</w:t>
            </w:r>
            <w:r w:rsidRPr="00F14B5A">
              <w:rPr>
                <w:rFonts w:eastAsia="標楷體"/>
                <w:color w:val="000000"/>
              </w:rPr>
              <w:t>4</w:t>
            </w:r>
            <w:r w:rsidRPr="00F14B5A">
              <w:rPr>
                <w:rFonts w:eastAsia="標楷體"/>
                <w:color w:val="000000"/>
              </w:rPr>
              <w:t>個縣市榮獲優等，分別為彰化縣、</w:t>
            </w:r>
            <w:proofErr w:type="gramStart"/>
            <w:r w:rsidRPr="00F14B5A">
              <w:rPr>
                <w:rFonts w:eastAsia="標楷體"/>
                <w:color w:val="000000"/>
              </w:rPr>
              <w:t>臺</w:t>
            </w:r>
            <w:proofErr w:type="gramEnd"/>
            <w:r w:rsidRPr="00F14B5A">
              <w:rPr>
                <w:rFonts w:eastAsia="標楷體"/>
                <w:color w:val="000000"/>
              </w:rPr>
              <w:t>東縣、澎湖縣及新竹市。</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lastRenderedPageBreak/>
              <w:t>10</w:t>
            </w:r>
          </w:p>
        </w:tc>
        <w:tc>
          <w:tcPr>
            <w:tcW w:w="1980" w:type="dxa"/>
            <w:vAlign w:val="center"/>
          </w:tcPr>
          <w:p w:rsidR="007A17F1" w:rsidRPr="00F14B5A" w:rsidRDefault="007A17F1" w:rsidP="00326313">
            <w:pPr>
              <w:jc w:val="center"/>
              <w:rPr>
                <w:rFonts w:eastAsia="標楷體"/>
              </w:rPr>
            </w:pPr>
            <w:r w:rsidRPr="00F14B5A">
              <w:rPr>
                <w:rFonts w:eastAsia="標楷體"/>
              </w:rPr>
              <w:t>資源回收考核</w:t>
            </w:r>
          </w:p>
        </w:tc>
        <w:tc>
          <w:tcPr>
            <w:tcW w:w="6662" w:type="dxa"/>
            <w:vAlign w:val="center"/>
          </w:tcPr>
          <w:p w:rsidR="003F340C" w:rsidRPr="00F14B5A" w:rsidRDefault="007A17F1" w:rsidP="00326313">
            <w:pPr>
              <w:jc w:val="both"/>
              <w:rPr>
                <w:rFonts w:eastAsia="標楷體"/>
              </w:rPr>
            </w:pPr>
            <w:r w:rsidRPr="00F14B5A">
              <w:rPr>
                <w:rFonts w:eastAsia="標楷體"/>
              </w:rPr>
              <w:t>計有臺北市、高雄市、宜蘭縣、嘉義縣、新竹縣、花蓮縣等</w:t>
            </w:r>
            <w:r w:rsidRPr="00F14B5A">
              <w:rPr>
                <w:rFonts w:eastAsia="標楷體"/>
              </w:rPr>
              <w:t>6</w:t>
            </w:r>
            <w:r w:rsidRPr="00F14B5A">
              <w:rPr>
                <w:rFonts w:eastAsia="標楷體"/>
              </w:rPr>
              <w:t>個縣市榮獲金質獎；</w:t>
            </w:r>
            <w:proofErr w:type="gramStart"/>
            <w:r w:rsidRPr="00F14B5A">
              <w:rPr>
                <w:rFonts w:eastAsia="標楷體"/>
              </w:rPr>
              <w:t>臺</w:t>
            </w:r>
            <w:proofErr w:type="gramEnd"/>
            <w:r w:rsidRPr="00F14B5A">
              <w:rPr>
                <w:rFonts w:eastAsia="標楷體"/>
              </w:rPr>
              <w:t>中市、</w:t>
            </w:r>
            <w:proofErr w:type="gramStart"/>
            <w:r w:rsidRPr="00F14B5A">
              <w:rPr>
                <w:rFonts w:eastAsia="標楷體"/>
              </w:rPr>
              <w:t>臺</w:t>
            </w:r>
            <w:proofErr w:type="gramEnd"/>
            <w:r w:rsidRPr="00F14B5A">
              <w:rPr>
                <w:rFonts w:eastAsia="標楷體"/>
              </w:rPr>
              <w:t>南市、新竹市、屏東縣、</w:t>
            </w:r>
            <w:proofErr w:type="gramStart"/>
            <w:r w:rsidRPr="00F14B5A">
              <w:rPr>
                <w:rFonts w:eastAsia="標楷體"/>
              </w:rPr>
              <w:t>臺</w:t>
            </w:r>
            <w:proofErr w:type="gramEnd"/>
            <w:r w:rsidRPr="00F14B5A">
              <w:rPr>
                <w:rFonts w:eastAsia="標楷體"/>
              </w:rPr>
              <w:t>東縣、金門縣</w:t>
            </w:r>
            <w:r w:rsidRPr="00F14B5A">
              <w:rPr>
                <w:rFonts w:eastAsia="標楷體"/>
              </w:rPr>
              <w:t>6</w:t>
            </w:r>
            <w:r w:rsidRPr="00F14B5A">
              <w:rPr>
                <w:rFonts w:eastAsia="標楷體"/>
              </w:rPr>
              <w:t>個縣市榮獲銀質獎，及新北市、桃園市、基隆市、苗栗縣、彰化縣、嘉義市、南投縣、雲林縣、澎湖縣與連江縣等</w:t>
            </w:r>
            <w:r w:rsidRPr="00F14B5A">
              <w:rPr>
                <w:rFonts w:eastAsia="標楷體"/>
              </w:rPr>
              <w:t>10</w:t>
            </w:r>
            <w:r w:rsidRPr="00F14B5A">
              <w:rPr>
                <w:rFonts w:eastAsia="標楷體"/>
              </w:rPr>
              <w:t>個縣市榮獲卓越獎。</w:t>
            </w:r>
          </w:p>
          <w:p w:rsidR="007A17F1" w:rsidRPr="00F14B5A" w:rsidRDefault="007A17F1" w:rsidP="00326313">
            <w:pPr>
              <w:jc w:val="both"/>
              <w:rPr>
                <w:rFonts w:eastAsia="標楷體"/>
              </w:rPr>
            </w:pPr>
            <w:r w:rsidRPr="00F14B5A">
              <w:rPr>
                <w:rFonts w:eastAsia="標楷體"/>
              </w:rPr>
              <w:t>我國的資源回收率從</w:t>
            </w:r>
            <w:r w:rsidRPr="00F14B5A">
              <w:rPr>
                <w:rFonts w:eastAsia="標楷體"/>
              </w:rPr>
              <w:t>109</w:t>
            </w:r>
            <w:r w:rsidRPr="00F14B5A">
              <w:rPr>
                <w:rFonts w:eastAsia="標楷體"/>
              </w:rPr>
              <w:t>年</w:t>
            </w:r>
            <w:r w:rsidRPr="00F14B5A">
              <w:rPr>
                <w:rFonts w:eastAsia="標楷體"/>
              </w:rPr>
              <w:t>56.4</w:t>
            </w:r>
            <w:r w:rsidRPr="00F14B5A">
              <w:rPr>
                <w:rFonts w:eastAsia="標楷體"/>
              </w:rPr>
              <w:t>％提升至</w:t>
            </w:r>
            <w:r w:rsidRPr="00F14B5A">
              <w:rPr>
                <w:rFonts w:eastAsia="標楷體"/>
              </w:rPr>
              <w:t>110</w:t>
            </w:r>
            <w:r w:rsidRPr="00F14B5A">
              <w:rPr>
                <w:rFonts w:eastAsia="標楷體"/>
              </w:rPr>
              <w:t>年</w:t>
            </w:r>
            <w:r w:rsidRPr="00F14B5A">
              <w:rPr>
                <w:rFonts w:eastAsia="標楷體"/>
              </w:rPr>
              <w:t>59.24</w:t>
            </w:r>
            <w:r w:rsidRPr="00F14B5A">
              <w:rPr>
                <w:rFonts w:eastAsia="標楷體"/>
              </w:rPr>
              <w:t>％；資源回收量由</w:t>
            </w:r>
            <w:r w:rsidRPr="00F14B5A">
              <w:rPr>
                <w:rFonts w:eastAsia="標楷體"/>
              </w:rPr>
              <w:t>109</w:t>
            </w:r>
            <w:r w:rsidRPr="00F14B5A">
              <w:rPr>
                <w:rFonts w:eastAsia="標楷體"/>
              </w:rPr>
              <w:t>年</w:t>
            </w:r>
            <w:r w:rsidRPr="00F14B5A">
              <w:rPr>
                <w:rFonts w:eastAsia="標楷體"/>
              </w:rPr>
              <w:t>522</w:t>
            </w:r>
            <w:r w:rsidRPr="00F14B5A">
              <w:rPr>
                <w:rFonts w:eastAsia="標楷體"/>
              </w:rPr>
              <w:t>萬餘公噸增加至</w:t>
            </w:r>
            <w:r w:rsidRPr="00F14B5A">
              <w:rPr>
                <w:rFonts w:eastAsia="標楷體"/>
              </w:rPr>
              <w:t>110</w:t>
            </w:r>
            <w:r w:rsidRPr="00F14B5A">
              <w:rPr>
                <w:rFonts w:eastAsia="標楷體"/>
              </w:rPr>
              <w:t>年</w:t>
            </w:r>
            <w:r w:rsidRPr="00F14B5A">
              <w:rPr>
                <w:rFonts w:eastAsia="標楷體"/>
              </w:rPr>
              <w:t>560</w:t>
            </w:r>
            <w:r w:rsidRPr="00F14B5A">
              <w:rPr>
                <w:rFonts w:eastAsia="標楷體"/>
              </w:rPr>
              <w:t>萬餘公噸，全國資源回收成效卓越，有賴於各地方環保機關積極努力推動，暢通回收管道，並不斷的創新求變，邁向「資源循環零廢棄」的目標。</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t>11</w:t>
            </w:r>
          </w:p>
        </w:tc>
        <w:tc>
          <w:tcPr>
            <w:tcW w:w="1980" w:type="dxa"/>
            <w:vAlign w:val="center"/>
          </w:tcPr>
          <w:p w:rsidR="007A17F1" w:rsidRPr="00F14B5A" w:rsidRDefault="007A17F1" w:rsidP="00326313">
            <w:pPr>
              <w:jc w:val="center"/>
              <w:rPr>
                <w:rFonts w:eastAsia="標楷體"/>
              </w:rPr>
            </w:pPr>
            <w:r w:rsidRPr="00F14B5A">
              <w:rPr>
                <w:rFonts w:eastAsia="標楷體"/>
              </w:rPr>
              <w:t>土壤及地下水污染整治考核</w:t>
            </w:r>
          </w:p>
        </w:tc>
        <w:tc>
          <w:tcPr>
            <w:tcW w:w="6662" w:type="dxa"/>
            <w:vAlign w:val="center"/>
          </w:tcPr>
          <w:p w:rsidR="007A17F1" w:rsidRPr="00F14B5A" w:rsidRDefault="007A17F1" w:rsidP="003F340C">
            <w:pPr>
              <w:jc w:val="both"/>
              <w:rPr>
                <w:rFonts w:eastAsia="標楷體"/>
              </w:rPr>
            </w:pPr>
            <w:r w:rsidRPr="00F14B5A">
              <w:rPr>
                <w:rFonts w:eastAsia="標楷體"/>
              </w:rPr>
              <w:t>計有臺北市、</w:t>
            </w:r>
            <w:proofErr w:type="gramStart"/>
            <w:r w:rsidRPr="00F14B5A">
              <w:rPr>
                <w:rFonts w:eastAsia="標楷體"/>
              </w:rPr>
              <w:t>臺</w:t>
            </w:r>
            <w:proofErr w:type="gramEnd"/>
            <w:r w:rsidRPr="00F14B5A">
              <w:rPr>
                <w:rFonts w:eastAsia="標楷體"/>
              </w:rPr>
              <w:t>南市、新竹縣、屏東縣、</w:t>
            </w:r>
            <w:proofErr w:type="gramStart"/>
            <w:r w:rsidRPr="00F14B5A">
              <w:rPr>
                <w:rFonts w:eastAsia="標楷體"/>
              </w:rPr>
              <w:t>臺</w:t>
            </w:r>
            <w:proofErr w:type="gramEnd"/>
            <w:r w:rsidRPr="00F14B5A">
              <w:rPr>
                <w:rFonts w:eastAsia="標楷體"/>
              </w:rPr>
              <w:t>東縣、花蓮縣及新竹市等</w:t>
            </w:r>
            <w:r w:rsidRPr="00F14B5A">
              <w:rPr>
                <w:rFonts w:eastAsia="標楷體"/>
              </w:rPr>
              <w:t>7</w:t>
            </w:r>
            <w:r w:rsidRPr="00F14B5A">
              <w:rPr>
                <w:rFonts w:eastAsia="標楷體"/>
              </w:rPr>
              <w:t>個縣市榮獲特優，及新北市、高雄市、苗栗縣、彰化縣及金門縣等</w:t>
            </w:r>
            <w:r w:rsidRPr="00F14B5A">
              <w:rPr>
                <w:rFonts w:eastAsia="標楷體"/>
              </w:rPr>
              <w:t>5</w:t>
            </w:r>
            <w:r w:rsidRPr="00F14B5A">
              <w:rPr>
                <w:rFonts w:eastAsia="標楷體"/>
              </w:rPr>
              <w:t>個縣市榮獲優等，各獲獎縣市除在辦理污染場址管理有顯著成效外，也積極推動加速改善場址之控管機制以</w:t>
            </w:r>
            <w:proofErr w:type="gramStart"/>
            <w:r w:rsidRPr="00F14B5A">
              <w:rPr>
                <w:rFonts w:eastAsia="標楷體"/>
              </w:rPr>
              <w:t>達成解列目標</w:t>
            </w:r>
            <w:proofErr w:type="gramEnd"/>
            <w:r w:rsidRPr="00F14B5A">
              <w:rPr>
                <w:rFonts w:eastAsia="標楷體"/>
              </w:rPr>
              <w:t>；同時各獲獎縣市也努力執行具縣市特色之創新作為，除有效提</w:t>
            </w:r>
            <w:r w:rsidR="003F340C" w:rsidRPr="00F14B5A">
              <w:rPr>
                <w:rFonts w:eastAsia="標楷體"/>
              </w:rPr>
              <w:t>升</w:t>
            </w:r>
            <w:r w:rsidRPr="00F14B5A">
              <w:rPr>
                <w:rFonts w:eastAsia="標楷體"/>
              </w:rPr>
              <w:t>整體土水業務之控管機制與宣導成效外，</w:t>
            </w:r>
            <w:r w:rsidR="003F340C" w:rsidRPr="00F14B5A">
              <w:rPr>
                <w:rFonts w:eastAsia="標楷體"/>
              </w:rPr>
              <w:t>亦</w:t>
            </w:r>
            <w:r w:rsidRPr="00F14B5A">
              <w:rPr>
                <w:rFonts w:eastAsia="標楷體"/>
              </w:rPr>
              <w:t>完善土壤及地下水污染預防工作，強化在地民眾與業者污染預防及土水永續之觀念。</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t>12</w:t>
            </w:r>
          </w:p>
        </w:tc>
        <w:tc>
          <w:tcPr>
            <w:tcW w:w="1980" w:type="dxa"/>
            <w:vAlign w:val="center"/>
          </w:tcPr>
          <w:p w:rsidR="007A17F1" w:rsidRPr="00F14B5A" w:rsidRDefault="007A17F1" w:rsidP="00326313">
            <w:pPr>
              <w:jc w:val="center"/>
              <w:rPr>
                <w:rFonts w:eastAsia="標楷體"/>
              </w:rPr>
            </w:pPr>
            <w:r w:rsidRPr="00F14B5A">
              <w:rPr>
                <w:rFonts w:eastAsia="標楷體"/>
              </w:rPr>
              <w:t>環境檢驗考核</w:t>
            </w:r>
          </w:p>
        </w:tc>
        <w:tc>
          <w:tcPr>
            <w:tcW w:w="6662" w:type="dxa"/>
            <w:vAlign w:val="center"/>
          </w:tcPr>
          <w:p w:rsidR="007A17F1" w:rsidRPr="00F14B5A" w:rsidRDefault="007A17F1" w:rsidP="003F340C">
            <w:pPr>
              <w:jc w:val="both"/>
              <w:rPr>
                <w:rFonts w:eastAsia="標楷體"/>
              </w:rPr>
            </w:pPr>
            <w:r w:rsidRPr="00F14B5A">
              <w:rPr>
                <w:rFonts w:eastAsia="標楷體"/>
              </w:rPr>
              <w:t>計有臺北市、</w:t>
            </w:r>
            <w:proofErr w:type="gramStart"/>
            <w:r w:rsidRPr="00F14B5A">
              <w:rPr>
                <w:rFonts w:eastAsia="標楷體"/>
              </w:rPr>
              <w:t>臺</w:t>
            </w:r>
            <w:proofErr w:type="gramEnd"/>
            <w:r w:rsidRPr="00F14B5A">
              <w:rPr>
                <w:rFonts w:eastAsia="標楷體"/>
              </w:rPr>
              <w:t>中市、</w:t>
            </w:r>
            <w:proofErr w:type="gramStart"/>
            <w:r w:rsidRPr="00F14B5A">
              <w:rPr>
                <w:rFonts w:eastAsia="標楷體"/>
              </w:rPr>
              <w:t>臺</w:t>
            </w:r>
            <w:proofErr w:type="gramEnd"/>
            <w:r w:rsidRPr="00F14B5A">
              <w:rPr>
                <w:rFonts w:eastAsia="標楷體"/>
              </w:rPr>
              <w:t>南市、新竹縣、新竹市、彰化縣、南投縣、嘉義縣、屏東縣及連江縣等</w:t>
            </w:r>
            <w:r w:rsidRPr="00F14B5A">
              <w:rPr>
                <w:rFonts w:eastAsia="標楷體"/>
              </w:rPr>
              <w:t>10</w:t>
            </w:r>
            <w:r w:rsidRPr="00F14B5A">
              <w:rPr>
                <w:rFonts w:eastAsia="標楷體"/>
              </w:rPr>
              <w:t>個縣市榮獲特優，各獲獎縣市除戮力精進環境檢驗技術，以簡化分析流程、降低藥品消耗和污染外，並致力發展</w:t>
            </w:r>
            <w:proofErr w:type="gramStart"/>
            <w:r w:rsidRPr="00F14B5A">
              <w:rPr>
                <w:rFonts w:eastAsia="標楷體"/>
              </w:rPr>
              <w:t>如笑氣</w:t>
            </w:r>
            <w:proofErr w:type="gramEnd"/>
            <w:r w:rsidRPr="00F14B5A">
              <w:rPr>
                <w:rFonts w:eastAsia="標楷體"/>
              </w:rPr>
              <w:t>、異味或非洲豬瘟等檢測技術，於協助查緝不法及環境保護上不遺餘力，足為各縣市環保機關楷模，值得各界肯定及嘉許</w:t>
            </w:r>
            <w:r w:rsidR="003F340C" w:rsidRPr="00F14B5A">
              <w:rPr>
                <w:rFonts w:eastAsia="標楷體"/>
              </w:rPr>
              <w:t>。</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t>13</w:t>
            </w:r>
          </w:p>
        </w:tc>
        <w:tc>
          <w:tcPr>
            <w:tcW w:w="1980" w:type="dxa"/>
            <w:vAlign w:val="center"/>
          </w:tcPr>
          <w:p w:rsidR="007A17F1" w:rsidRPr="00F14B5A" w:rsidRDefault="007A17F1" w:rsidP="00326313">
            <w:pPr>
              <w:jc w:val="center"/>
              <w:rPr>
                <w:rFonts w:eastAsia="標楷體"/>
              </w:rPr>
            </w:pPr>
            <w:r w:rsidRPr="00F14B5A">
              <w:rPr>
                <w:rFonts w:eastAsia="標楷體"/>
                <w:kern w:val="0"/>
                <w:lang w:eastAsia="zh-CN" w:bidi="hi-IN"/>
              </w:rPr>
              <w:t>毒物及化學物質管理</w:t>
            </w:r>
            <w:r w:rsidRPr="00F14B5A">
              <w:rPr>
                <w:rFonts w:eastAsia="標楷體"/>
              </w:rPr>
              <w:t>考核</w:t>
            </w:r>
          </w:p>
        </w:tc>
        <w:tc>
          <w:tcPr>
            <w:tcW w:w="6662" w:type="dxa"/>
            <w:vAlign w:val="center"/>
          </w:tcPr>
          <w:p w:rsidR="007A17F1" w:rsidRPr="00F14B5A" w:rsidRDefault="007A17F1" w:rsidP="00326313">
            <w:pPr>
              <w:jc w:val="both"/>
              <w:rPr>
                <w:rFonts w:eastAsia="標楷體"/>
                <w:color w:val="000000"/>
              </w:rPr>
            </w:pPr>
            <w:r w:rsidRPr="00F14B5A">
              <w:rPr>
                <w:rFonts w:eastAsia="標楷體"/>
                <w:color w:val="000000"/>
              </w:rPr>
              <w:t>計有桃園市、</w:t>
            </w:r>
            <w:proofErr w:type="gramStart"/>
            <w:r w:rsidRPr="00F14B5A">
              <w:rPr>
                <w:rFonts w:eastAsia="標楷體"/>
                <w:color w:val="000000"/>
              </w:rPr>
              <w:t>臺</w:t>
            </w:r>
            <w:proofErr w:type="gramEnd"/>
            <w:r w:rsidRPr="00F14B5A">
              <w:rPr>
                <w:rFonts w:eastAsia="標楷體"/>
                <w:color w:val="000000"/>
              </w:rPr>
              <w:t>中市、新北市、彰化縣、嘉義縣及屏東縣等</w:t>
            </w:r>
            <w:r w:rsidRPr="00F14B5A">
              <w:rPr>
                <w:rFonts w:eastAsia="標楷體"/>
                <w:color w:val="000000"/>
              </w:rPr>
              <w:t>6</w:t>
            </w:r>
            <w:r w:rsidRPr="00F14B5A">
              <w:rPr>
                <w:rFonts w:eastAsia="標楷體"/>
                <w:color w:val="000000"/>
              </w:rPr>
              <w:t>個縣市榮獲特優，獲得優等的則包括高雄市、臺北市、</w:t>
            </w:r>
            <w:proofErr w:type="gramStart"/>
            <w:r w:rsidRPr="00F14B5A">
              <w:rPr>
                <w:rFonts w:eastAsia="標楷體"/>
                <w:color w:val="000000"/>
              </w:rPr>
              <w:t>臺</w:t>
            </w:r>
            <w:proofErr w:type="gramEnd"/>
            <w:r w:rsidRPr="00F14B5A">
              <w:rPr>
                <w:rFonts w:eastAsia="標楷體"/>
                <w:color w:val="000000"/>
              </w:rPr>
              <w:t>南市、新竹縣、嘉義市及宜蘭縣等</w:t>
            </w:r>
            <w:r w:rsidRPr="00F14B5A">
              <w:rPr>
                <w:rFonts w:eastAsia="標楷體"/>
                <w:color w:val="000000"/>
              </w:rPr>
              <w:t>6</w:t>
            </w:r>
            <w:r w:rsidRPr="00F14B5A">
              <w:rPr>
                <w:rFonts w:eastAsia="標楷體"/>
                <w:color w:val="000000"/>
              </w:rPr>
              <w:t>個縣市。</w:t>
            </w:r>
          </w:p>
          <w:p w:rsidR="007A17F1" w:rsidRPr="00F14B5A" w:rsidRDefault="007A17F1" w:rsidP="003F340C">
            <w:pPr>
              <w:jc w:val="both"/>
              <w:rPr>
                <w:rFonts w:eastAsia="標楷體"/>
                <w:color w:val="FF0000"/>
              </w:rPr>
            </w:pPr>
            <w:r w:rsidRPr="00F14B5A">
              <w:rPr>
                <w:rFonts w:eastAsia="標楷體"/>
                <w:color w:val="000000"/>
              </w:rPr>
              <w:t>環保署表示，為建構「安全、永續的化學環境」，落實「食安五環」</w:t>
            </w:r>
            <w:proofErr w:type="gramStart"/>
            <w:r w:rsidRPr="00F14B5A">
              <w:rPr>
                <w:rFonts w:eastAsia="標楷體"/>
                <w:color w:val="000000"/>
              </w:rPr>
              <w:t>防堵具食</w:t>
            </w:r>
            <w:proofErr w:type="gramEnd"/>
            <w:r w:rsidRPr="00F14B5A">
              <w:rPr>
                <w:rFonts w:eastAsia="標楷體"/>
                <w:color w:val="000000"/>
              </w:rPr>
              <w:t>安風險疑慮化學物質流入食品供應鏈，及毒化災應變預防整備工作，</w:t>
            </w:r>
            <w:r w:rsidR="003F340C" w:rsidRPr="00F14B5A">
              <w:rPr>
                <w:rFonts w:eastAsia="標楷體"/>
                <w:color w:val="000000"/>
              </w:rPr>
              <w:t>及</w:t>
            </w:r>
            <w:r w:rsidRPr="00F14B5A">
              <w:rPr>
                <w:rFonts w:eastAsia="標楷體"/>
                <w:color w:val="000000"/>
              </w:rPr>
              <w:t>強化毒物及化學物質之源頭管理，中央與地方政府是夥伴關係，透過地方政府環保績效考核，鼓舞並</w:t>
            </w:r>
            <w:r w:rsidRPr="00F14B5A">
              <w:rPr>
                <w:rFonts w:eastAsia="標楷體"/>
                <w:color w:val="000000"/>
              </w:rPr>
              <w:lastRenderedPageBreak/>
              <w:t>激勵環保機關同仁士氣，攜手共同提升環保施政績效，期能邁向健康永續環境，維護國民健康。</w:t>
            </w:r>
          </w:p>
        </w:tc>
      </w:tr>
      <w:tr w:rsidR="007A17F1" w:rsidRPr="00F14B5A" w:rsidTr="00326313">
        <w:trPr>
          <w:jc w:val="center"/>
        </w:trPr>
        <w:tc>
          <w:tcPr>
            <w:tcW w:w="709" w:type="dxa"/>
            <w:vAlign w:val="center"/>
          </w:tcPr>
          <w:p w:rsidR="007A17F1" w:rsidRPr="00F14B5A" w:rsidRDefault="007A17F1" w:rsidP="00326313">
            <w:pPr>
              <w:jc w:val="center"/>
              <w:rPr>
                <w:rFonts w:eastAsia="標楷體"/>
              </w:rPr>
            </w:pPr>
            <w:r w:rsidRPr="00F14B5A">
              <w:rPr>
                <w:rFonts w:eastAsia="標楷體"/>
              </w:rPr>
              <w:lastRenderedPageBreak/>
              <w:t>14</w:t>
            </w:r>
          </w:p>
        </w:tc>
        <w:tc>
          <w:tcPr>
            <w:tcW w:w="1980" w:type="dxa"/>
            <w:vAlign w:val="center"/>
          </w:tcPr>
          <w:p w:rsidR="007A17F1" w:rsidRPr="00F14B5A" w:rsidRDefault="007A17F1" w:rsidP="00326313">
            <w:pPr>
              <w:jc w:val="center"/>
              <w:rPr>
                <w:rFonts w:eastAsia="標楷體"/>
              </w:rPr>
            </w:pPr>
            <w:r w:rsidRPr="00F14B5A">
              <w:rPr>
                <w:rFonts w:eastAsia="標楷體"/>
              </w:rPr>
              <w:t>環境保護績效考核總成績</w:t>
            </w:r>
          </w:p>
        </w:tc>
        <w:tc>
          <w:tcPr>
            <w:tcW w:w="6662" w:type="dxa"/>
            <w:vAlign w:val="center"/>
          </w:tcPr>
          <w:p w:rsidR="007A17F1" w:rsidRPr="00F14B5A" w:rsidRDefault="007A17F1" w:rsidP="00326313">
            <w:pPr>
              <w:jc w:val="both"/>
              <w:rPr>
                <w:rFonts w:eastAsia="標楷體"/>
                <w:color w:val="000000"/>
              </w:rPr>
            </w:pPr>
            <w:proofErr w:type="gramStart"/>
            <w:r w:rsidRPr="00F14B5A">
              <w:rPr>
                <w:rFonts w:eastAsia="標楷體"/>
                <w:color w:val="000000"/>
              </w:rPr>
              <w:t>110</w:t>
            </w:r>
            <w:proofErr w:type="gramEnd"/>
            <w:r w:rsidRPr="00F14B5A">
              <w:rPr>
                <w:rFonts w:eastAsia="標楷體"/>
                <w:color w:val="000000"/>
              </w:rPr>
              <w:t>年度環境保護績效考核總成績</w:t>
            </w:r>
            <w:r w:rsidR="003F340C" w:rsidRPr="00F14B5A">
              <w:rPr>
                <w:rFonts w:eastAsia="標楷體"/>
                <w:color w:val="000000"/>
              </w:rPr>
              <w:t>整體表現特優計</w:t>
            </w:r>
            <w:r w:rsidRPr="00F14B5A">
              <w:rPr>
                <w:rFonts w:eastAsia="標楷體"/>
                <w:color w:val="000000"/>
              </w:rPr>
              <w:t>有</w:t>
            </w:r>
            <w:proofErr w:type="gramStart"/>
            <w:r w:rsidRPr="00F14B5A">
              <w:rPr>
                <w:rFonts w:eastAsia="標楷體"/>
                <w:color w:val="000000"/>
              </w:rPr>
              <w:t>臺</w:t>
            </w:r>
            <w:proofErr w:type="gramEnd"/>
            <w:r w:rsidRPr="00F14B5A">
              <w:rPr>
                <w:rFonts w:eastAsia="標楷體"/>
                <w:color w:val="000000"/>
              </w:rPr>
              <w:t>北</w:t>
            </w:r>
            <w:proofErr w:type="gramStart"/>
            <w:r w:rsidRPr="00F14B5A">
              <w:rPr>
                <w:rFonts w:eastAsia="標楷體"/>
                <w:color w:val="000000"/>
              </w:rPr>
              <w:t>巿</w:t>
            </w:r>
            <w:proofErr w:type="gramEnd"/>
            <w:r w:rsidRPr="00F14B5A">
              <w:rPr>
                <w:rFonts w:eastAsia="標楷體"/>
                <w:color w:val="000000"/>
              </w:rPr>
              <w:t>、新北市、桃園市、</w:t>
            </w:r>
            <w:proofErr w:type="gramStart"/>
            <w:r w:rsidRPr="00F14B5A">
              <w:rPr>
                <w:rFonts w:eastAsia="標楷體"/>
                <w:color w:val="000000"/>
              </w:rPr>
              <w:t>臺</w:t>
            </w:r>
            <w:proofErr w:type="gramEnd"/>
            <w:r w:rsidRPr="00F14B5A">
              <w:rPr>
                <w:rFonts w:eastAsia="標楷體"/>
                <w:color w:val="000000"/>
              </w:rPr>
              <w:t>中市、</w:t>
            </w:r>
            <w:proofErr w:type="gramStart"/>
            <w:r w:rsidRPr="00F14B5A">
              <w:rPr>
                <w:rFonts w:eastAsia="標楷體"/>
                <w:color w:val="000000"/>
              </w:rPr>
              <w:t>臺</w:t>
            </w:r>
            <w:proofErr w:type="gramEnd"/>
            <w:r w:rsidRPr="00F14B5A">
              <w:rPr>
                <w:rFonts w:eastAsia="標楷體"/>
                <w:color w:val="000000"/>
              </w:rPr>
              <w:t>南市、高雄市、宜蘭縣、彰化縣、雲林縣、嘉義縣、屏東縣、花蓮縣及新竹市等</w:t>
            </w:r>
            <w:r w:rsidRPr="00F14B5A">
              <w:rPr>
                <w:rFonts w:eastAsia="標楷體"/>
                <w:color w:val="000000"/>
              </w:rPr>
              <w:t>13</w:t>
            </w:r>
            <w:r w:rsidRPr="00F14B5A">
              <w:rPr>
                <w:rFonts w:eastAsia="標楷體"/>
                <w:color w:val="000000"/>
              </w:rPr>
              <w:t>個縣市。環保署表示，中央與地方政府是夥伴關係，透過地方政府環保績效考核，鼓舞並激勵環保機關同仁士氣，攜手共同提升環保施政績效，讓國人有更舒適的生活環境。</w:t>
            </w:r>
          </w:p>
        </w:tc>
      </w:tr>
    </w:tbl>
    <w:p w:rsidR="002020D6" w:rsidRPr="00F14B5A" w:rsidRDefault="002020D6" w:rsidP="00C62D12">
      <w:pPr>
        <w:spacing w:beforeLines="50" w:before="180" w:line="500" w:lineRule="exact"/>
        <w:ind w:firstLineChars="200" w:firstLine="640"/>
        <w:jc w:val="both"/>
        <w:rPr>
          <w:rFonts w:eastAsia="標楷體"/>
          <w:sz w:val="32"/>
          <w:szCs w:val="28"/>
        </w:rPr>
      </w:pPr>
    </w:p>
    <w:sectPr w:rsidR="002020D6" w:rsidRPr="00F14B5A" w:rsidSect="00411ABD">
      <w:footerReference w:type="even"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698" w:rsidRDefault="00812698">
      <w:r>
        <w:separator/>
      </w:r>
    </w:p>
  </w:endnote>
  <w:endnote w:type="continuationSeparator" w:id="0">
    <w:p w:rsidR="00812698" w:rsidRDefault="0081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7A" w:rsidRDefault="00873C7A" w:rsidP="00E93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73C7A" w:rsidRDefault="00873C7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7A" w:rsidRDefault="00873C7A" w:rsidP="00E93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253E6">
      <w:rPr>
        <w:rStyle w:val="a8"/>
        <w:noProof/>
      </w:rPr>
      <w:t>4</w:t>
    </w:r>
    <w:r>
      <w:rPr>
        <w:rStyle w:val="a8"/>
      </w:rPr>
      <w:fldChar w:fldCharType="end"/>
    </w:r>
  </w:p>
  <w:p w:rsidR="00873C7A" w:rsidRDefault="00873C7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698" w:rsidRDefault="00812698">
      <w:r>
        <w:separator/>
      </w:r>
    </w:p>
  </w:footnote>
  <w:footnote w:type="continuationSeparator" w:id="0">
    <w:p w:rsidR="00812698" w:rsidRDefault="008126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9C6"/>
    <w:multiLevelType w:val="hybridMultilevel"/>
    <w:tmpl w:val="DEA874BC"/>
    <w:lvl w:ilvl="0" w:tplc="CF78A4D0">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A11D10"/>
    <w:multiLevelType w:val="multilevel"/>
    <w:tmpl w:val="6596C98E"/>
    <w:lvl w:ilvl="0">
      <w:start w:val="1"/>
      <w:numFmt w:val="decimal"/>
      <w:pStyle w:val="1"/>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lang w:val="en-US"/>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7C4D18"/>
    <w:multiLevelType w:val="hybridMultilevel"/>
    <w:tmpl w:val="909C30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E82477"/>
    <w:multiLevelType w:val="hybridMultilevel"/>
    <w:tmpl w:val="45B0BD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10618B"/>
    <w:multiLevelType w:val="hybridMultilevel"/>
    <w:tmpl w:val="30F20570"/>
    <w:lvl w:ilvl="0" w:tplc="16181F04">
      <w:start w:val="1"/>
      <w:numFmt w:val="taiwaneseCountingThousand"/>
      <w:lvlText w:val="（%1）"/>
      <w:lvlJc w:val="left"/>
      <w:pPr>
        <w:tabs>
          <w:tab w:val="num" w:pos="1260"/>
        </w:tabs>
        <w:ind w:left="1260" w:hanging="108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15:restartNumberingAfterBreak="0">
    <w:nsid w:val="15A04DCF"/>
    <w:multiLevelType w:val="hybridMultilevel"/>
    <w:tmpl w:val="60E6CE5C"/>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99722D"/>
    <w:multiLevelType w:val="hybridMultilevel"/>
    <w:tmpl w:val="D16A5412"/>
    <w:lvl w:ilvl="0" w:tplc="934A0642">
      <w:start w:val="1"/>
      <w:numFmt w:val="decimal"/>
      <w:lvlText w:val="%1."/>
      <w:lvlJc w:val="left"/>
      <w:pPr>
        <w:ind w:left="480" w:hanging="480"/>
      </w:pPr>
      <w:rPr>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84665D2"/>
    <w:multiLevelType w:val="hybridMultilevel"/>
    <w:tmpl w:val="14F20AA8"/>
    <w:lvl w:ilvl="0" w:tplc="ECA29A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4227591"/>
    <w:multiLevelType w:val="hybridMultilevel"/>
    <w:tmpl w:val="5650A418"/>
    <w:lvl w:ilvl="0" w:tplc="83E8BD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3A6812"/>
    <w:multiLevelType w:val="hybridMultilevel"/>
    <w:tmpl w:val="9FCA7B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EF94EA2"/>
    <w:multiLevelType w:val="hybridMultilevel"/>
    <w:tmpl w:val="037C24EC"/>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0B60131"/>
    <w:multiLevelType w:val="hybridMultilevel"/>
    <w:tmpl w:val="31841FFE"/>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5E00C33"/>
    <w:multiLevelType w:val="hybridMultilevel"/>
    <w:tmpl w:val="5BE4BE34"/>
    <w:lvl w:ilvl="0" w:tplc="F46466C0">
      <w:start w:val="1"/>
      <w:numFmt w:val="taiwaneseCountingThousand"/>
      <w:lvlText w:val="%1、"/>
      <w:lvlJc w:val="left"/>
      <w:pPr>
        <w:tabs>
          <w:tab w:val="num" w:pos="1120"/>
        </w:tabs>
        <w:ind w:left="1120" w:hanging="720"/>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3" w15:restartNumberingAfterBreak="0">
    <w:nsid w:val="3A0643A7"/>
    <w:multiLevelType w:val="hybridMultilevel"/>
    <w:tmpl w:val="9B0EE124"/>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DCD25A1"/>
    <w:multiLevelType w:val="hybridMultilevel"/>
    <w:tmpl w:val="AF666A2A"/>
    <w:lvl w:ilvl="0" w:tplc="F46466C0">
      <w:start w:val="1"/>
      <w:numFmt w:val="taiwaneseCountingThousand"/>
      <w:lvlText w:val="%1、"/>
      <w:lvlJc w:val="left"/>
      <w:pPr>
        <w:tabs>
          <w:tab w:val="num" w:pos="920"/>
        </w:tabs>
        <w:ind w:left="920" w:hanging="720"/>
      </w:pPr>
      <w:rPr>
        <w:rFonts w:hint="eastAsia"/>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15" w15:restartNumberingAfterBreak="0">
    <w:nsid w:val="3F8167DE"/>
    <w:multiLevelType w:val="hybridMultilevel"/>
    <w:tmpl w:val="0E8C5EF2"/>
    <w:lvl w:ilvl="0" w:tplc="26FA8A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0C0F84"/>
    <w:multiLevelType w:val="multilevel"/>
    <w:tmpl w:val="A11422CE"/>
    <w:lvl w:ilvl="0">
      <w:start w:val="1"/>
      <w:numFmt w:val="taiwaneseCountingThousand"/>
      <w:suff w:val="nothing"/>
      <w:lvlText w:val="%1、"/>
      <w:lvlJc w:val="left"/>
      <w:pPr>
        <w:tabs>
          <w:tab w:val="num" w:pos="380"/>
        </w:tabs>
        <w:ind w:left="680" w:hanging="680"/>
      </w:pPr>
    </w:lvl>
    <w:lvl w:ilvl="1">
      <w:start w:val="1"/>
      <w:numFmt w:val="taiwaneseCountingThousand"/>
      <w:suff w:val="nothing"/>
      <w:lvlText w:val="︵%2︶"/>
      <w:lvlJc w:val="left"/>
      <w:pPr>
        <w:tabs>
          <w:tab w:val="num" w:pos="652"/>
        </w:tabs>
        <w:ind w:left="1360" w:hanging="1020"/>
      </w:pPr>
    </w:lvl>
    <w:lvl w:ilvl="2">
      <w:start w:val="1"/>
      <w:numFmt w:val="decimalFullWidth"/>
      <w:suff w:val="nothing"/>
      <w:lvlText w:val="%3、"/>
      <w:lvlJc w:val="left"/>
      <w:pPr>
        <w:tabs>
          <w:tab w:val="num" w:pos="1078"/>
        </w:tabs>
        <w:ind w:left="1700" w:hanging="680"/>
      </w:pPr>
    </w:lvl>
    <w:lvl w:ilvl="3">
      <w:start w:val="1"/>
      <w:numFmt w:val="decimalFullWidth"/>
      <w:suff w:val="nothing"/>
      <w:lvlText w:val="︵%4︶"/>
      <w:lvlJc w:val="left"/>
      <w:pPr>
        <w:tabs>
          <w:tab w:val="num" w:pos="1644"/>
        </w:tabs>
        <w:ind w:left="2380" w:hanging="1020"/>
      </w:pPr>
    </w:lvl>
    <w:lvl w:ilvl="4">
      <w:start w:val="1"/>
      <w:numFmt w:val="ideographTraditional"/>
      <w:suff w:val="nothing"/>
      <w:lvlText w:val="%5、"/>
      <w:lvlJc w:val="left"/>
      <w:pPr>
        <w:tabs>
          <w:tab w:val="num" w:pos="2211"/>
        </w:tabs>
        <w:ind w:left="2720" w:hanging="680"/>
      </w:pPr>
    </w:lvl>
    <w:lvl w:ilvl="5">
      <w:start w:val="1"/>
      <w:numFmt w:val="ideographTraditional"/>
      <w:suff w:val="nothing"/>
      <w:lvlText w:val="︵%6︶"/>
      <w:lvlJc w:val="left"/>
      <w:pPr>
        <w:tabs>
          <w:tab w:val="num" w:pos="2920"/>
        </w:tabs>
        <w:ind w:left="3400" w:hanging="1020"/>
      </w:pPr>
    </w:lvl>
    <w:lvl w:ilvl="6">
      <w:start w:val="1"/>
      <w:numFmt w:val="ideographZodiac"/>
      <w:suff w:val="nothing"/>
      <w:lvlText w:val="%7、"/>
      <w:lvlJc w:val="left"/>
      <w:pPr>
        <w:tabs>
          <w:tab w:val="num" w:pos="3487"/>
        </w:tabs>
        <w:ind w:left="3740" w:hanging="680"/>
      </w:pPr>
    </w:lvl>
    <w:lvl w:ilvl="7">
      <w:start w:val="1"/>
      <w:numFmt w:val="ideographZodiac"/>
      <w:suff w:val="nothing"/>
      <w:lvlText w:val="︵%8︶"/>
      <w:lvlJc w:val="left"/>
      <w:pPr>
        <w:tabs>
          <w:tab w:val="num" w:pos="4054"/>
        </w:tabs>
        <w:ind w:left="4420" w:hanging="1020"/>
      </w:pPr>
    </w:lvl>
    <w:lvl w:ilvl="8">
      <w:start w:val="1"/>
      <w:numFmt w:val="decimalFullWidth"/>
      <w:suff w:val="nothing"/>
      <w:lvlText w:val="%9︶"/>
      <w:lvlJc w:val="left"/>
      <w:pPr>
        <w:tabs>
          <w:tab w:val="num" w:pos="4762"/>
        </w:tabs>
        <w:ind w:left="4760" w:hanging="680"/>
      </w:pPr>
    </w:lvl>
  </w:abstractNum>
  <w:abstractNum w:abstractNumId="17" w15:restartNumberingAfterBreak="0">
    <w:nsid w:val="46DA607B"/>
    <w:multiLevelType w:val="hybridMultilevel"/>
    <w:tmpl w:val="0088E42C"/>
    <w:lvl w:ilvl="0" w:tplc="276CB5C8">
      <w:start w:val="1"/>
      <w:numFmt w:val="taiwaneseCountingThousand"/>
      <w:lvlText w:val="%1、"/>
      <w:lvlJc w:val="left"/>
      <w:pPr>
        <w:tabs>
          <w:tab w:val="num" w:pos="480"/>
        </w:tabs>
        <w:ind w:left="480" w:hanging="480"/>
      </w:pPr>
    </w:lvl>
    <w:lvl w:ilvl="1" w:tplc="EA16CB22">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89E5CF2"/>
    <w:multiLevelType w:val="hybridMultilevel"/>
    <w:tmpl w:val="AA0889AC"/>
    <w:lvl w:ilvl="0" w:tplc="9D90480E">
      <w:start w:val="1"/>
      <w:numFmt w:val="decimal"/>
      <w:lvlText w:val="%1."/>
      <w:lvlJc w:val="left"/>
      <w:pPr>
        <w:ind w:left="1600" w:hanging="96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9" w15:restartNumberingAfterBreak="0">
    <w:nsid w:val="58DF32EB"/>
    <w:multiLevelType w:val="hybridMultilevel"/>
    <w:tmpl w:val="B896C186"/>
    <w:lvl w:ilvl="0" w:tplc="371CBC6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8FB68E3"/>
    <w:multiLevelType w:val="hybridMultilevel"/>
    <w:tmpl w:val="E072F260"/>
    <w:lvl w:ilvl="0" w:tplc="F46466C0">
      <w:start w:val="1"/>
      <w:numFmt w:val="taiwaneseCountingThousand"/>
      <w:lvlText w:val="%1、"/>
      <w:lvlJc w:val="left"/>
      <w:pPr>
        <w:tabs>
          <w:tab w:val="num" w:pos="720"/>
        </w:tabs>
        <w:ind w:left="720" w:hanging="720"/>
      </w:pPr>
      <w:rPr>
        <w:rFonts w:hint="eastAsia"/>
      </w:rPr>
    </w:lvl>
    <w:lvl w:ilvl="1" w:tplc="F46466C0">
      <w:start w:val="1"/>
      <w:numFmt w:val="taiwaneseCountingThousand"/>
      <w:lvlText w:val="%2、"/>
      <w:lvlJc w:val="left"/>
      <w:pPr>
        <w:tabs>
          <w:tab w:val="num" w:pos="720"/>
        </w:tabs>
        <w:ind w:left="720" w:hanging="720"/>
      </w:pPr>
      <w:rPr>
        <w:rFonts w:hint="eastAsia"/>
      </w:rPr>
    </w:lvl>
    <w:lvl w:ilvl="2" w:tplc="84B0DD7C">
      <w:start w:val="1"/>
      <w:numFmt w:val="taiwaneseCountingThousand"/>
      <w:lvlText w:val="︵%3︶"/>
      <w:lvlJc w:val="left"/>
      <w:pPr>
        <w:tabs>
          <w:tab w:val="num" w:pos="2040"/>
        </w:tabs>
        <w:ind w:left="2040" w:hanging="1080"/>
      </w:pPr>
      <w:rPr>
        <w:rFonts w:hint="eastAsia"/>
      </w:rPr>
    </w:lvl>
    <w:lvl w:ilvl="3" w:tplc="2F02A812">
      <w:start w:val="1"/>
      <w:numFmt w:val="taiwaneseCountingThousand"/>
      <w:lvlText w:val="（%4）"/>
      <w:lvlJc w:val="left"/>
      <w:pPr>
        <w:tabs>
          <w:tab w:val="num" w:pos="2160"/>
        </w:tabs>
        <w:ind w:left="2160" w:hanging="720"/>
      </w:pPr>
      <w:rPr>
        <w:rFonts w:hint="eastAsia"/>
        <w:sz w:val="36"/>
      </w:rPr>
    </w:lvl>
    <w:lvl w:ilvl="4" w:tplc="06508804">
      <w:start w:val="1"/>
      <w:numFmt w:val="taiwaneseCountingThousand"/>
      <w:lvlText w:val="(%5)"/>
      <w:lvlJc w:val="left"/>
      <w:pPr>
        <w:tabs>
          <w:tab w:val="num" w:pos="2640"/>
        </w:tabs>
        <w:ind w:left="2640" w:hanging="720"/>
      </w:pPr>
      <w:rPr>
        <w:rFonts w:ascii="Times New Roman" w:hAnsi="Times New Roman" w:cs="Times New Roman" w:hint="default"/>
      </w:rPr>
    </w:lvl>
    <w:lvl w:ilvl="5" w:tplc="89C6D956">
      <w:start w:val="1"/>
      <w:numFmt w:val="decimal"/>
      <w:lvlText w:val="%6."/>
      <w:lvlJc w:val="left"/>
      <w:pPr>
        <w:tabs>
          <w:tab w:val="num" w:pos="2760"/>
        </w:tabs>
        <w:ind w:left="2760" w:hanging="36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A314302"/>
    <w:multiLevelType w:val="hybridMultilevel"/>
    <w:tmpl w:val="C58033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D9201A7"/>
    <w:multiLevelType w:val="hybridMultilevel"/>
    <w:tmpl w:val="575CF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3E34BA6"/>
    <w:multiLevelType w:val="hybridMultilevel"/>
    <w:tmpl w:val="C5D039A2"/>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60B7B54"/>
    <w:multiLevelType w:val="hybridMultilevel"/>
    <w:tmpl w:val="EBE8DB6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FB00454"/>
    <w:multiLevelType w:val="hybridMultilevel"/>
    <w:tmpl w:val="E44E1450"/>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FFF4AB2"/>
    <w:multiLevelType w:val="multilevel"/>
    <w:tmpl w:val="1072615A"/>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7" w15:restartNumberingAfterBreak="0">
    <w:nsid w:val="72020E41"/>
    <w:multiLevelType w:val="hybridMultilevel"/>
    <w:tmpl w:val="E0E8B29C"/>
    <w:lvl w:ilvl="0" w:tplc="2B98B7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574458A"/>
    <w:multiLevelType w:val="hybridMultilevel"/>
    <w:tmpl w:val="E918D38A"/>
    <w:lvl w:ilvl="0" w:tplc="F46466C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8331E47"/>
    <w:multiLevelType w:val="hybridMultilevel"/>
    <w:tmpl w:val="7342399A"/>
    <w:lvl w:ilvl="0" w:tplc="DA326572">
      <w:start w:val="1"/>
      <w:numFmt w:val="decimal"/>
      <w:lvlText w:val="%1、"/>
      <w:lvlJc w:val="left"/>
      <w:pPr>
        <w:tabs>
          <w:tab w:val="num" w:pos="360"/>
        </w:tabs>
        <w:ind w:left="360" w:hanging="360"/>
      </w:pPr>
      <w:rPr>
        <w:rFonts w:hint="eastAsia"/>
      </w:rPr>
    </w:lvl>
    <w:lvl w:ilvl="1" w:tplc="44E8F472">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AD465BF"/>
    <w:multiLevelType w:val="hybridMultilevel"/>
    <w:tmpl w:val="508097D0"/>
    <w:lvl w:ilvl="0" w:tplc="A49EF5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0"/>
  </w:num>
  <w:num w:numId="2">
    <w:abstractNumId w:val="5"/>
  </w:num>
  <w:num w:numId="3">
    <w:abstractNumId w:val="14"/>
  </w:num>
  <w:num w:numId="4">
    <w:abstractNumId w:val="12"/>
  </w:num>
  <w:num w:numId="5">
    <w:abstractNumId w:val="9"/>
  </w:num>
  <w:num w:numId="6">
    <w:abstractNumId w:val="28"/>
  </w:num>
  <w:num w:numId="7">
    <w:abstractNumId w:val="4"/>
  </w:num>
  <w:num w:numId="8">
    <w:abstractNumId w:val="16"/>
  </w:num>
  <w:num w:numId="9">
    <w:abstractNumId w:val="3"/>
  </w:num>
  <w:num w:numId="10">
    <w:abstractNumId w:val="21"/>
  </w:num>
  <w:num w:numId="11">
    <w:abstractNumId w:val="19"/>
  </w:num>
  <w:num w:numId="12">
    <w:abstractNumId w:val="1"/>
  </w:num>
  <w:num w:numId="13">
    <w:abstractNumId w:val="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5"/>
  </w:num>
  <w:num w:numId="17">
    <w:abstractNumId w:val="27"/>
  </w:num>
  <w:num w:numId="18">
    <w:abstractNumId w:val="8"/>
  </w:num>
  <w:num w:numId="19">
    <w:abstractNumId w:val="24"/>
  </w:num>
  <w:num w:numId="20">
    <w:abstractNumId w:val="13"/>
  </w:num>
  <w:num w:numId="21">
    <w:abstractNumId w:val="25"/>
  </w:num>
  <w:num w:numId="22">
    <w:abstractNumId w:val="0"/>
  </w:num>
  <w:num w:numId="23">
    <w:abstractNumId w:val="22"/>
  </w:num>
  <w:num w:numId="24">
    <w:abstractNumId w:val="2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1"/>
  </w:num>
  <w:num w:numId="28">
    <w:abstractNumId w:val="10"/>
  </w:num>
  <w:num w:numId="29">
    <w:abstractNumId w:val="7"/>
  </w:num>
  <w:num w:numId="30">
    <w:abstractNumId w:val="30"/>
  </w:num>
  <w:num w:numId="31">
    <w:abstractNumId w:val="1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8F"/>
    <w:rsid w:val="0000112A"/>
    <w:rsid w:val="00005BA9"/>
    <w:rsid w:val="00017097"/>
    <w:rsid w:val="00021E80"/>
    <w:rsid w:val="00025844"/>
    <w:rsid w:val="000269B3"/>
    <w:rsid w:val="00030EA5"/>
    <w:rsid w:val="000324A9"/>
    <w:rsid w:val="00035A89"/>
    <w:rsid w:val="00045455"/>
    <w:rsid w:val="000509D0"/>
    <w:rsid w:val="00064D66"/>
    <w:rsid w:val="00067C0D"/>
    <w:rsid w:val="000712A4"/>
    <w:rsid w:val="0008004D"/>
    <w:rsid w:val="00084F78"/>
    <w:rsid w:val="00087BC7"/>
    <w:rsid w:val="000928E6"/>
    <w:rsid w:val="00094216"/>
    <w:rsid w:val="00095CE0"/>
    <w:rsid w:val="0009617F"/>
    <w:rsid w:val="000A3079"/>
    <w:rsid w:val="000A712D"/>
    <w:rsid w:val="000C00F1"/>
    <w:rsid w:val="000C115B"/>
    <w:rsid w:val="000C7E34"/>
    <w:rsid w:val="000E3736"/>
    <w:rsid w:val="000F10CB"/>
    <w:rsid w:val="000F4EB5"/>
    <w:rsid w:val="000F62D7"/>
    <w:rsid w:val="00104EA0"/>
    <w:rsid w:val="0011137D"/>
    <w:rsid w:val="00137FFA"/>
    <w:rsid w:val="00152DC0"/>
    <w:rsid w:val="00154A76"/>
    <w:rsid w:val="001550C5"/>
    <w:rsid w:val="00155CD3"/>
    <w:rsid w:val="001568C1"/>
    <w:rsid w:val="00163E1C"/>
    <w:rsid w:val="001640E7"/>
    <w:rsid w:val="0016727A"/>
    <w:rsid w:val="00172F0E"/>
    <w:rsid w:val="001736E3"/>
    <w:rsid w:val="0017756B"/>
    <w:rsid w:val="00183765"/>
    <w:rsid w:val="00184382"/>
    <w:rsid w:val="0018580A"/>
    <w:rsid w:val="00186822"/>
    <w:rsid w:val="0018688F"/>
    <w:rsid w:val="0018790D"/>
    <w:rsid w:val="00190C30"/>
    <w:rsid w:val="00195704"/>
    <w:rsid w:val="001967BA"/>
    <w:rsid w:val="001A52F5"/>
    <w:rsid w:val="001A5BE8"/>
    <w:rsid w:val="001B4CCF"/>
    <w:rsid w:val="001B65A6"/>
    <w:rsid w:val="001B72E0"/>
    <w:rsid w:val="001D6188"/>
    <w:rsid w:val="001D7536"/>
    <w:rsid w:val="001E57FF"/>
    <w:rsid w:val="002020D6"/>
    <w:rsid w:val="00202EC3"/>
    <w:rsid w:val="002041CE"/>
    <w:rsid w:val="00205E4F"/>
    <w:rsid w:val="00206713"/>
    <w:rsid w:val="00222657"/>
    <w:rsid w:val="002253E6"/>
    <w:rsid w:val="00255C14"/>
    <w:rsid w:val="00264AFE"/>
    <w:rsid w:val="002664C7"/>
    <w:rsid w:val="00271276"/>
    <w:rsid w:val="002717C9"/>
    <w:rsid w:val="00276097"/>
    <w:rsid w:val="00276439"/>
    <w:rsid w:val="00282EC6"/>
    <w:rsid w:val="0028635C"/>
    <w:rsid w:val="00292FBD"/>
    <w:rsid w:val="00293A89"/>
    <w:rsid w:val="002967E4"/>
    <w:rsid w:val="002979E6"/>
    <w:rsid w:val="002B551C"/>
    <w:rsid w:val="002B6104"/>
    <w:rsid w:val="002B7917"/>
    <w:rsid w:val="002C2E60"/>
    <w:rsid w:val="002C4A2A"/>
    <w:rsid w:val="002C4B68"/>
    <w:rsid w:val="002D20F4"/>
    <w:rsid w:val="002D581D"/>
    <w:rsid w:val="002D7769"/>
    <w:rsid w:val="002D7C0A"/>
    <w:rsid w:val="002E132C"/>
    <w:rsid w:val="002E519B"/>
    <w:rsid w:val="002F362D"/>
    <w:rsid w:val="002F7791"/>
    <w:rsid w:val="003018F4"/>
    <w:rsid w:val="00302C1D"/>
    <w:rsid w:val="0031133F"/>
    <w:rsid w:val="00314D6B"/>
    <w:rsid w:val="0031699A"/>
    <w:rsid w:val="00327480"/>
    <w:rsid w:val="00330266"/>
    <w:rsid w:val="003311CC"/>
    <w:rsid w:val="00331C4C"/>
    <w:rsid w:val="003325C8"/>
    <w:rsid w:val="00356CFA"/>
    <w:rsid w:val="00360EDE"/>
    <w:rsid w:val="00361AC7"/>
    <w:rsid w:val="003739C4"/>
    <w:rsid w:val="0037792F"/>
    <w:rsid w:val="003809EE"/>
    <w:rsid w:val="0038317C"/>
    <w:rsid w:val="00383F94"/>
    <w:rsid w:val="00385E9A"/>
    <w:rsid w:val="00397EB1"/>
    <w:rsid w:val="003B7AB6"/>
    <w:rsid w:val="003C537A"/>
    <w:rsid w:val="003E6A4C"/>
    <w:rsid w:val="003E7311"/>
    <w:rsid w:val="003F0782"/>
    <w:rsid w:val="003F340C"/>
    <w:rsid w:val="003F344B"/>
    <w:rsid w:val="003F6255"/>
    <w:rsid w:val="0040058A"/>
    <w:rsid w:val="00410820"/>
    <w:rsid w:val="004108A3"/>
    <w:rsid w:val="00411ABD"/>
    <w:rsid w:val="00413FA4"/>
    <w:rsid w:val="00416E5E"/>
    <w:rsid w:val="00420E78"/>
    <w:rsid w:val="004226FB"/>
    <w:rsid w:val="00422F8E"/>
    <w:rsid w:val="00424494"/>
    <w:rsid w:val="00431A5C"/>
    <w:rsid w:val="00431BF3"/>
    <w:rsid w:val="00432AFA"/>
    <w:rsid w:val="00437B6A"/>
    <w:rsid w:val="0044090C"/>
    <w:rsid w:val="00441D4A"/>
    <w:rsid w:val="0044298D"/>
    <w:rsid w:val="00443611"/>
    <w:rsid w:val="004508D3"/>
    <w:rsid w:val="00451495"/>
    <w:rsid w:val="00455C38"/>
    <w:rsid w:val="00471054"/>
    <w:rsid w:val="00476C6A"/>
    <w:rsid w:val="0049346C"/>
    <w:rsid w:val="004B11C7"/>
    <w:rsid w:val="004B5804"/>
    <w:rsid w:val="004B7FC1"/>
    <w:rsid w:val="004C6F44"/>
    <w:rsid w:val="004D3FE7"/>
    <w:rsid w:val="004D7892"/>
    <w:rsid w:val="004F039B"/>
    <w:rsid w:val="004F2067"/>
    <w:rsid w:val="0050492D"/>
    <w:rsid w:val="00506A34"/>
    <w:rsid w:val="005302AC"/>
    <w:rsid w:val="00532E2E"/>
    <w:rsid w:val="005368A5"/>
    <w:rsid w:val="00542AFF"/>
    <w:rsid w:val="00542E76"/>
    <w:rsid w:val="00546B46"/>
    <w:rsid w:val="00557083"/>
    <w:rsid w:val="00560738"/>
    <w:rsid w:val="00562F17"/>
    <w:rsid w:val="00564BF2"/>
    <w:rsid w:val="00572F9B"/>
    <w:rsid w:val="005732ED"/>
    <w:rsid w:val="00574510"/>
    <w:rsid w:val="0057612A"/>
    <w:rsid w:val="005765A5"/>
    <w:rsid w:val="00577FDB"/>
    <w:rsid w:val="00580B04"/>
    <w:rsid w:val="00591A5D"/>
    <w:rsid w:val="00595E75"/>
    <w:rsid w:val="005A2C1E"/>
    <w:rsid w:val="005A39D4"/>
    <w:rsid w:val="005B6D01"/>
    <w:rsid w:val="005C21F4"/>
    <w:rsid w:val="005C3609"/>
    <w:rsid w:val="005E2923"/>
    <w:rsid w:val="005E68D3"/>
    <w:rsid w:val="00602D9F"/>
    <w:rsid w:val="00610260"/>
    <w:rsid w:val="00612C0C"/>
    <w:rsid w:val="006146F4"/>
    <w:rsid w:val="006155F7"/>
    <w:rsid w:val="00623283"/>
    <w:rsid w:val="006256EE"/>
    <w:rsid w:val="0064065B"/>
    <w:rsid w:val="006413A0"/>
    <w:rsid w:val="0064689E"/>
    <w:rsid w:val="0066046C"/>
    <w:rsid w:val="0067089C"/>
    <w:rsid w:val="00670DD3"/>
    <w:rsid w:val="006750F0"/>
    <w:rsid w:val="006845B0"/>
    <w:rsid w:val="00691186"/>
    <w:rsid w:val="006A155D"/>
    <w:rsid w:val="006A65CA"/>
    <w:rsid w:val="006C2442"/>
    <w:rsid w:val="006C30EE"/>
    <w:rsid w:val="006C6E05"/>
    <w:rsid w:val="006C7F84"/>
    <w:rsid w:val="006D0354"/>
    <w:rsid w:val="006D28F0"/>
    <w:rsid w:val="006D3917"/>
    <w:rsid w:val="006E7589"/>
    <w:rsid w:val="006F738F"/>
    <w:rsid w:val="00703367"/>
    <w:rsid w:val="007145EE"/>
    <w:rsid w:val="00716DCF"/>
    <w:rsid w:val="00720A95"/>
    <w:rsid w:val="00723D9D"/>
    <w:rsid w:val="007257E7"/>
    <w:rsid w:val="00726201"/>
    <w:rsid w:val="00733081"/>
    <w:rsid w:val="00734659"/>
    <w:rsid w:val="00736C9F"/>
    <w:rsid w:val="00740017"/>
    <w:rsid w:val="00744985"/>
    <w:rsid w:val="007556AB"/>
    <w:rsid w:val="0076379C"/>
    <w:rsid w:val="007744C0"/>
    <w:rsid w:val="00785482"/>
    <w:rsid w:val="00791158"/>
    <w:rsid w:val="0079746F"/>
    <w:rsid w:val="007A0271"/>
    <w:rsid w:val="007A17F1"/>
    <w:rsid w:val="007A450A"/>
    <w:rsid w:val="007A611C"/>
    <w:rsid w:val="007B2EBE"/>
    <w:rsid w:val="007B30A2"/>
    <w:rsid w:val="007B4396"/>
    <w:rsid w:val="007B5893"/>
    <w:rsid w:val="007E4988"/>
    <w:rsid w:val="007E4C4D"/>
    <w:rsid w:val="007E5622"/>
    <w:rsid w:val="007E7C1E"/>
    <w:rsid w:val="00802569"/>
    <w:rsid w:val="00811CC0"/>
    <w:rsid w:val="00812698"/>
    <w:rsid w:val="00817FA9"/>
    <w:rsid w:val="00830ABF"/>
    <w:rsid w:val="00831CC6"/>
    <w:rsid w:val="00833BC1"/>
    <w:rsid w:val="00840D7D"/>
    <w:rsid w:val="00856177"/>
    <w:rsid w:val="00861861"/>
    <w:rsid w:val="0086458E"/>
    <w:rsid w:val="00873C7A"/>
    <w:rsid w:val="00874FB4"/>
    <w:rsid w:val="00875B72"/>
    <w:rsid w:val="008838B5"/>
    <w:rsid w:val="00890879"/>
    <w:rsid w:val="00891602"/>
    <w:rsid w:val="0089212B"/>
    <w:rsid w:val="008A1BE1"/>
    <w:rsid w:val="008A3593"/>
    <w:rsid w:val="008B0E5D"/>
    <w:rsid w:val="008B34CB"/>
    <w:rsid w:val="008B3F20"/>
    <w:rsid w:val="008B54B8"/>
    <w:rsid w:val="008B5D54"/>
    <w:rsid w:val="008D0CAA"/>
    <w:rsid w:val="008E0AB4"/>
    <w:rsid w:val="008E4900"/>
    <w:rsid w:val="008F34AA"/>
    <w:rsid w:val="00904C6E"/>
    <w:rsid w:val="0091498D"/>
    <w:rsid w:val="00916065"/>
    <w:rsid w:val="0092053D"/>
    <w:rsid w:val="00920A74"/>
    <w:rsid w:val="00922929"/>
    <w:rsid w:val="00930BD3"/>
    <w:rsid w:val="00934DFA"/>
    <w:rsid w:val="0094144E"/>
    <w:rsid w:val="00941A27"/>
    <w:rsid w:val="009424C7"/>
    <w:rsid w:val="0094343E"/>
    <w:rsid w:val="009435C9"/>
    <w:rsid w:val="00945ED1"/>
    <w:rsid w:val="0094718D"/>
    <w:rsid w:val="009513D4"/>
    <w:rsid w:val="0095190E"/>
    <w:rsid w:val="009525A7"/>
    <w:rsid w:val="00954729"/>
    <w:rsid w:val="0096718B"/>
    <w:rsid w:val="009726CB"/>
    <w:rsid w:val="00986AD3"/>
    <w:rsid w:val="009872DE"/>
    <w:rsid w:val="0098743C"/>
    <w:rsid w:val="00993EF9"/>
    <w:rsid w:val="00994039"/>
    <w:rsid w:val="00994279"/>
    <w:rsid w:val="009944D5"/>
    <w:rsid w:val="00996A81"/>
    <w:rsid w:val="009A2ECF"/>
    <w:rsid w:val="009A62C3"/>
    <w:rsid w:val="009C6CD7"/>
    <w:rsid w:val="009D345F"/>
    <w:rsid w:val="009D3831"/>
    <w:rsid w:val="009D3E82"/>
    <w:rsid w:val="009E139B"/>
    <w:rsid w:val="009E202F"/>
    <w:rsid w:val="009E461A"/>
    <w:rsid w:val="009E510C"/>
    <w:rsid w:val="009F0528"/>
    <w:rsid w:val="00A113AF"/>
    <w:rsid w:val="00A11FC0"/>
    <w:rsid w:val="00A15D04"/>
    <w:rsid w:val="00A17909"/>
    <w:rsid w:val="00A214D1"/>
    <w:rsid w:val="00A23A52"/>
    <w:rsid w:val="00A33573"/>
    <w:rsid w:val="00A33CC9"/>
    <w:rsid w:val="00A37FCE"/>
    <w:rsid w:val="00A5067A"/>
    <w:rsid w:val="00A62DAE"/>
    <w:rsid w:val="00A65A31"/>
    <w:rsid w:val="00A66711"/>
    <w:rsid w:val="00A701F8"/>
    <w:rsid w:val="00A713C6"/>
    <w:rsid w:val="00A727CC"/>
    <w:rsid w:val="00A74E09"/>
    <w:rsid w:val="00A81740"/>
    <w:rsid w:val="00A869C0"/>
    <w:rsid w:val="00AA2BEB"/>
    <w:rsid w:val="00AA322B"/>
    <w:rsid w:val="00AB29C0"/>
    <w:rsid w:val="00AB752B"/>
    <w:rsid w:val="00AC640E"/>
    <w:rsid w:val="00AC661D"/>
    <w:rsid w:val="00AD4053"/>
    <w:rsid w:val="00AD799B"/>
    <w:rsid w:val="00AE7890"/>
    <w:rsid w:val="00AF0248"/>
    <w:rsid w:val="00AF1A1A"/>
    <w:rsid w:val="00AF24EE"/>
    <w:rsid w:val="00AF290D"/>
    <w:rsid w:val="00AF68F1"/>
    <w:rsid w:val="00B000E0"/>
    <w:rsid w:val="00B01DA0"/>
    <w:rsid w:val="00B04F1E"/>
    <w:rsid w:val="00B06992"/>
    <w:rsid w:val="00B06A04"/>
    <w:rsid w:val="00B0759D"/>
    <w:rsid w:val="00B178E1"/>
    <w:rsid w:val="00B20ECA"/>
    <w:rsid w:val="00B22ECF"/>
    <w:rsid w:val="00B332BF"/>
    <w:rsid w:val="00B4037F"/>
    <w:rsid w:val="00B40A51"/>
    <w:rsid w:val="00B45F40"/>
    <w:rsid w:val="00B523F5"/>
    <w:rsid w:val="00B52A15"/>
    <w:rsid w:val="00B62C3F"/>
    <w:rsid w:val="00B65E19"/>
    <w:rsid w:val="00B7018C"/>
    <w:rsid w:val="00B70E3E"/>
    <w:rsid w:val="00B764B4"/>
    <w:rsid w:val="00B77FF7"/>
    <w:rsid w:val="00B8237D"/>
    <w:rsid w:val="00B835BE"/>
    <w:rsid w:val="00B84C46"/>
    <w:rsid w:val="00B875FB"/>
    <w:rsid w:val="00B9034F"/>
    <w:rsid w:val="00B9037C"/>
    <w:rsid w:val="00B91E8F"/>
    <w:rsid w:val="00B96195"/>
    <w:rsid w:val="00BA0B7F"/>
    <w:rsid w:val="00BA5B1C"/>
    <w:rsid w:val="00BC0173"/>
    <w:rsid w:val="00BC1EAF"/>
    <w:rsid w:val="00BD7208"/>
    <w:rsid w:val="00BE51D5"/>
    <w:rsid w:val="00BE79D0"/>
    <w:rsid w:val="00BF3CB3"/>
    <w:rsid w:val="00C0067B"/>
    <w:rsid w:val="00C0336B"/>
    <w:rsid w:val="00C0350A"/>
    <w:rsid w:val="00C03967"/>
    <w:rsid w:val="00C13135"/>
    <w:rsid w:val="00C137F1"/>
    <w:rsid w:val="00C1509D"/>
    <w:rsid w:val="00C26554"/>
    <w:rsid w:val="00C43059"/>
    <w:rsid w:val="00C441A7"/>
    <w:rsid w:val="00C47DE6"/>
    <w:rsid w:val="00C62D12"/>
    <w:rsid w:val="00C6402F"/>
    <w:rsid w:val="00C67BFE"/>
    <w:rsid w:val="00C71932"/>
    <w:rsid w:val="00C74CAF"/>
    <w:rsid w:val="00C80B50"/>
    <w:rsid w:val="00C94D6A"/>
    <w:rsid w:val="00C95EA1"/>
    <w:rsid w:val="00C95F51"/>
    <w:rsid w:val="00CA1DCC"/>
    <w:rsid w:val="00CA489C"/>
    <w:rsid w:val="00CA6690"/>
    <w:rsid w:val="00CB3E5D"/>
    <w:rsid w:val="00CB546B"/>
    <w:rsid w:val="00CC0298"/>
    <w:rsid w:val="00CC111E"/>
    <w:rsid w:val="00CC2270"/>
    <w:rsid w:val="00CE2487"/>
    <w:rsid w:val="00CF7802"/>
    <w:rsid w:val="00D0068A"/>
    <w:rsid w:val="00D03775"/>
    <w:rsid w:val="00D12C89"/>
    <w:rsid w:val="00D169BC"/>
    <w:rsid w:val="00D326A6"/>
    <w:rsid w:val="00D4463D"/>
    <w:rsid w:val="00D4488D"/>
    <w:rsid w:val="00D45228"/>
    <w:rsid w:val="00D73B53"/>
    <w:rsid w:val="00D77407"/>
    <w:rsid w:val="00D80913"/>
    <w:rsid w:val="00D81E82"/>
    <w:rsid w:val="00D8383F"/>
    <w:rsid w:val="00D8615A"/>
    <w:rsid w:val="00D87980"/>
    <w:rsid w:val="00D9605C"/>
    <w:rsid w:val="00D97D5D"/>
    <w:rsid w:val="00DA1AA9"/>
    <w:rsid w:val="00DA4AC1"/>
    <w:rsid w:val="00DA5204"/>
    <w:rsid w:val="00DB2C6A"/>
    <w:rsid w:val="00DB50E1"/>
    <w:rsid w:val="00DB60CD"/>
    <w:rsid w:val="00DC0865"/>
    <w:rsid w:val="00DC3A99"/>
    <w:rsid w:val="00DC6594"/>
    <w:rsid w:val="00DD2EBC"/>
    <w:rsid w:val="00DD4C30"/>
    <w:rsid w:val="00DD6106"/>
    <w:rsid w:val="00DD67EC"/>
    <w:rsid w:val="00DE236E"/>
    <w:rsid w:val="00DE6040"/>
    <w:rsid w:val="00DF7AEE"/>
    <w:rsid w:val="00E00165"/>
    <w:rsid w:val="00E0097B"/>
    <w:rsid w:val="00E01826"/>
    <w:rsid w:val="00E029FB"/>
    <w:rsid w:val="00E0415E"/>
    <w:rsid w:val="00E049BF"/>
    <w:rsid w:val="00E05D9A"/>
    <w:rsid w:val="00E103FF"/>
    <w:rsid w:val="00E10738"/>
    <w:rsid w:val="00E114B9"/>
    <w:rsid w:val="00E12633"/>
    <w:rsid w:val="00E1736E"/>
    <w:rsid w:val="00E23E89"/>
    <w:rsid w:val="00E30386"/>
    <w:rsid w:val="00E352C4"/>
    <w:rsid w:val="00E36170"/>
    <w:rsid w:val="00E40611"/>
    <w:rsid w:val="00E4593C"/>
    <w:rsid w:val="00E477EF"/>
    <w:rsid w:val="00E518C5"/>
    <w:rsid w:val="00E538BF"/>
    <w:rsid w:val="00E61A77"/>
    <w:rsid w:val="00E6430F"/>
    <w:rsid w:val="00E72330"/>
    <w:rsid w:val="00E77875"/>
    <w:rsid w:val="00E829ED"/>
    <w:rsid w:val="00E82C9D"/>
    <w:rsid w:val="00E836AF"/>
    <w:rsid w:val="00E925F6"/>
    <w:rsid w:val="00E93558"/>
    <w:rsid w:val="00E95843"/>
    <w:rsid w:val="00EA3D5F"/>
    <w:rsid w:val="00EB73E2"/>
    <w:rsid w:val="00EB7498"/>
    <w:rsid w:val="00EC279B"/>
    <w:rsid w:val="00EC6252"/>
    <w:rsid w:val="00ED5883"/>
    <w:rsid w:val="00ED79D8"/>
    <w:rsid w:val="00EE22B7"/>
    <w:rsid w:val="00EE41A7"/>
    <w:rsid w:val="00EE5A10"/>
    <w:rsid w:val="00EE6922"/>
    <w:rsid w:val="00EF28EE"/>
    <w:rsid w:val="00EF4092"/>
    <w:rsid w:val="00F05D7A"/>
    <w:rsid w:val="00F138F1"/>
    <w:rsid w:val="00F14B5A"/>
    <w:rsid w:val="00F14B9F"/>
    <w:rsid w:val="00F225F9"/>
    <w:rsid w:val="00F22CC2"/>
    <w:rsid w:val="00F35BCA"/>
    <w:rsid w:val="00F3699B"/>
    <w:rsid w:val="00F406C7"/>
    <w:rsid w:val="00F420BA"/>
    <w:rsid w:val="00F42CE3"/>
    <w:rsid w:val="00F542ED"/>
    <w:rsid w:val="00F63C05"/>
    <w:rsid w:val="00F66806"/>
    <w:rsid w:val="00F72CA9"/>
    <w:rsid w:val="00F76D4A"/>
    <w:rsid w:val="00F8791E"/>
    <w:rsid w:val="00FA2936"/>
    <w:rsid w:val="00FC2D35"/>
    <w:rsid w:val="00FC34D6"/>
    <w:rsid w:val="00FD2B99"/>
    <w:rsid w:val="00FD7611"/>
    <w:rsid w:val="00FE0140"/>
    <w:rsid w:val="00FE34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CB8953-8B83-48E8-9456-1442CBEB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0F62D7"/>
    <w:pPr>
      <w:numPr>
        <w:numId w:val="13"/>
      </w:numPr>
      <w:spacing w:line="360" w:lineRule="auto"/>
      <w:outlineLvl w:val="0"/>
    </w:pPr>
    <w:rPr>
      <w:rFonts w:eastAsia="標楷體"/>
      <w:sz w:val="28"/>
      <w:lang w:val="x-none" w:eastAsia="x-none"/>
    </w:rPr>
  </w:style>
  <w:style w:type="paragraph" w:styleId="3">
    <w:name w:val="heading 3"/>
    <w:basedOn w:val="a"/>
    <w:next w:val="a"/>
    <w:link w:val="30"/>
    <w:semiHidden/>
    <w:unhideWhenUsed/>
    <w:qFormat/>
    <w:rsid w:val="00EA3D5F"/>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36"/>
    </w:rPr>
  </w:style>
  <w:style w:type="paragraph" w:styleId="a4">
    <w:name w:val="Body Text Indent"/>
    <w:basedOn w:val="a"/>
    <w:pPr>
      <w:ind w:left="1080" w:hangingChars="300" w:hanging="1080"/>
    </w:pPr>
    <w:rPr>
      <w:rFonts w:eastAsia="標楷體"/>
      <w:sz w:val="36"/>
    </w:rPr>
  </w:style>
  <w:style w:type="paragraph" w:customStyle="1" w:styleId="a5">
    <w:name w:val="公文(後續段落)"/>
    <w:pPr>
      <w:adjustRightInd w:val="0"/>
      <w:snapToGrid w:val="0"/>
      <w:spacing w:line="578" w:lineRule="atLeast"/>
      <w:ind w:left="340"/>
    </w:pPr>
    <w:rPr>
      <w:rFonts w:eastAsia="標楷體"/>
      <w:sz w:val="34"/>
    </w:rPr>
  </w:style>
  <w:style w:type="paragraph" w:styleId="a6">
    <w:name w:val="header"/>
    <w:basedOn w:val="a"/>
    <w:pPr>
      <w:tabs>
        <w:tab w:val="center" w:pos="4153"/>
        <w:tab w:val="right" w:pos="8306"/>
      </w:tabs>
      <w:snapToGrid w:val="0"/>
    </w:pPr>
    <w:rPr>
      <w:rFonts w:eastAsia="標楷體"/>
      <w:sz w:val="20"/>
      <w:szCs w:val="20"/>
    </w:rPr>
  </w:style>
  <w:style w:type="paragraph" w:styleId="a7">
    <w:name w:val="footer"/>
    <w:basedOn w:val="a"/>
    <w:rsid w:val="0089212B"/>
    <w:pPr>
      <w:tabs>
        <w:tab w:val="center" w:pos="4153"/>
        <w:tab w:val="right" w:pos="8306"/>
      </w:tabs>
      <w:snapToGrid w:val="0"/>
    </w:pPr>
    <w:rPr>
      <w:sz w:val="20"/>
      <w:szCs w:val="20"/>
    </w:rPr>
  </w:style>
  <w:style w:type="character" w:styleId="a8">
    <w:name w:val="page number"/>
    <w:basedOn w:val="a0"/>
    <w:rsid w:val="0089212B"/>
  </w:style>
  <w:style w:type="table" w:styleId="a9">
    <w:name w:val="Table Grid"/>
    <w:basedOn w:val="a1"/>
    <w:uiPriority w:val="39"/>
    <w:rsid w:val="000F6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0F62D7"/>
    <w:rPr>
      <w:rFonts w:ascii="細明體" w:eastAsia="細明體" w:hAnsi="Courier New"/>
      <w:szCs w:val="20"/>
    </w:rPr>
  </w:style>
  <w:style w:type="paragraph" w:styleId="Web">
    <w:name w:val="Normal (Web)"/>
    <w:basedOn w:val="a"/>
    <w:uiPriority w:val="99"/>
    <w:rsid w:val="000F62D7"/>
    <w:pPr>
      <w:widowControl/>
      <w:spacing w:before="100" w:beforeAutospacing="1" w:after="100" w:afterAutospacing="1"/>
    </w:pPr>
    <w:rPr>
      <w:rFonts w:ascii="新細明體" w:hAnsi="新細明體" w:cs="新細明體"/>
      <w:kern w:val="0"/>
    </w:rPr>
  </w:style>
  <w:style w:type="character" w:styleId="ab">
    <w:name w:val="Hyperlink"/>
    <w:rsid w:val="000F62D7"/>
    <w:rPr>
      <w:color w:val="0000FF"/>
      <w:u w:val="single"/>
    </w:rPr>
  </w:style>
  <w:style w:type="paragraph" w:styleId="ac">
    <w:name w:val="annotation text"/>
    <w:basedOn w:val="a"/>
    <w:link w:val="ad"/>
    <w:uiPriority w:val="99"/>
    <w:semiHidden/>
    <w:rsid w:val="000F62D7"/>
  </w:style>
  <w:style w:type="paragraph" w:styleId="31">
    <w:name w:val="Body Text 3"/>
    <w:basedOn w:val="a"/>
    <w:rsid w:val="002C4B68"/>
    <w:pPr>
      <w:spacing w:after="120"/>
    </w:pPr>
    <w:rPr>
      <w:sz w:val="16"/>
      <w:szCs w:val="16"/>
    </w:rPr>
  </w:style>
  <w:style w:type="paragraph" w:styleId="ae">
    <w:name w:val="List Paragraph"/>
    <w:basedOn w:val="a"/>
    <w:uiPriority w:val="34"/>
    <w:qFormat/>
    <w:rsid w:val="00CC111E"/>
    <w:pPr>
      <w:ind w:leftChars="200" w:left="480"/>
    </w:pPr>
  </w:style>
  <w:style w:type="paragraph" w:styleId="af">
    <w:name w:val="Balloon Text"/>
    <w:basedOn w:val="a"/>
    <w:link w:val="af0"/>
    <w:rsid w:val="00331C4C"/>
    <w:rPr>
      <w:rFonts w:ascii="Cambria" w:hAnsi="Cambria"/>
      <w:sz w:val="18"/>
      <w:szCs w:val="18"/>
    </w:rPr>
  </w:style>
  <w:style w:type="character" w:customStyle="1" w:styleId="af0">
    <w:name w:val="註解方塊文字 字元"/>
    <w:link w:val="af"/>
    <w:rsid w:val="00331C4C"/>
    <w:rPr>
      <w:rFonts w:ascii="Cambria" w:eastAsia="新細明體" w:hAnsi="Cambria" w:cs="Times New Roman"/>
      <w:kern w:val="2"/>
      <w:sz w:val="18"/>
      <w:szCs w:val="18"/>
    </w:rPr>
  </w:style>
  <w:style w:type="character" w:customStyle="1" w:styleId="30">
    <w:name w:val="標題 3 字元"/>
    <w:link w:val="3"/>
    <w:semiHidden/>
    <w:rsid w:val="00EA3D5F"/>
    <w:rPr>
      <w:rFonts w:ascii="Calibri Light" w:eastAsia="新細明體" w:hAnsi="Calibri Light" w:cs="Times New Roman"/>
      <w:b/>
      <w:bCs/>
      <w:kern w:val="2"/>
      <w:sz w:val="36"/>
      <w:szCs w:val="36"/>
    </w:rPr>
  </w:style>
  <w:style w:type="character" w:styleId="af1">
    <w:name w:val="annotation reference"/>
    <w:uiPriority w:val="99"/>
    <w:unhideWhenUsed/>
    <w:rsid w:val="007A17F1"/>
    <w:rPr>
      <w:sz w:val="18"/>
      <w:szCs w:val="18"/>
    </w:rPr>
  </w:style>
  <w:style w:type="character" w:customStyle="1" w:styleId="ad">
    <w:name w:val="註解文字 字元"/>
    <w:link w:val="ac"/>
    <w:uiPriority w:val="99"/>
    <w:semiHidden/>
    <w:rsid w:val="007A17F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269583">
      <w:bodyDiv w:val="1"/>
      <w:marLeft w:val="0"/>
      <w:marRight w:val="0"/>
      <w:marTop w:val="0"/>
      <w:marBottom w:val="0"/>
      <w:divBdr>
        <w:top w:val="none" w:sz="0" w:space="0" w:color="auto"/>
        <w:left w:val="none" w:sz="0" w:space="0" w:color="auto"/>
        <w:bottom w:val="none" w:sz="0" w:space="0" w:color="auto"/>
        <w:right w:val="none" w:sz="0" w:space="0" w:color="auto"/>
      </w:divBdr>
      <w:divsChild>
        <w:div w:id="652370448">
          <w:marLeft w:val="0"/>
          <w:marRight w:val="0"/>
          <w:marTop w:val="0"/>
          <w:marBottom w:val="0"/>
          <w:divBdr>
            <w:top w:val="none" w:sz="0" w:space="0" w:color="auto"/>
            <w:left w:val="none" w:sz="0" w:space="0" w:color="auto"/>
            <w:bottom w:val="none" w:sz="0" w:space="0" w:color="auto"/>
            <w:right w:val="none" w:sz="0" w:space="0" w:color="auto"/>
          </w:divBdr>
          <w:divsChild>
            <w:div w:id="446852298">
              <w:marLeft w:val="0"/>
              <w:marRight w:val="0"/>
              <w:marTop w:val="0"/>
              <w:marBottom w:val="0"/>
              <w:divBdr>
                <w:top w:val="none" w:sz="0" w:space="0" w:color="auto"/>
                <w:left w:val="none" w:sz="0" w:space="0" w:color="auto"/>
                <w:bottom w:val="none" w:sz="0" w:space="0" w:color="auto"/>
                <w:right w:val="none" w:sz="0" w:space="0" w:color="auto"/>
              </w:divBdr>
              <w:divsChild>
                <w:div w:id="994138919">
                  <w:marLeft w:val="0"/>
                  <w:marRight w:val="0"/>
                  <w:marTop w:val="0"/>
                  <w:marBottom w:val="0"/>
                  <w:divBdr>
                    <w:top w:val="none" w:sz="0" w:space="0" w:color="auto"/>
                    <w:left w:val="none" w:sz="0" w:space="0" w:color="auto"/>
                    <w:bottom w:val="none" w:sz="0" w:space="0" w:color="auto"/>
                    <w:right w:val="none" w:sz="0" w:space="0" w:color="auto"/>
                  </w:divBdr>
                  <w:divsChild>
                    <w:div w:id="1542669528">
                      <w:marLeft w:val="0"/>
                      <w:marRight w:val="0"/>
                      <w:marTop w:val="0"/>
                      <w:marBottom w:val="0"/>
                      <w:divBdr>
                        <w:top w:val="none" w:sz="0" w:space="0" w:color="auto"/>
                        <w:left w:val="none" w:sz="0" w:space="0" w:color="auto"/>
                        <w:bottom w:val="none" w:sz="0" w:space="0" w:color="auto"/>
                        <w:right w:val="none" w:sz="0" w:space="0" w:color="auto"/>
                      </w:divBdr>
                      <w:divsChild>
                        <w:div w:id="2047363470">
                          <w:marLeft w:val="0"/>
                          <w:marRight w:val="0"/>
                          <w:marTop w:val="0"/>
                          <w:marBottom w:val="0"/>
                          <w:divBdr>
                            <w:top w:val="none" w:sz="0" w:space="0" w:color="auto"/>
                            <w:left w:val="none" w:sz="0" w:space="0" w:color="auto"/>
                            <w:bottom w:val="none" w:sz="0" w:space="0" w:color="auto"/>
                            <w:right w:val="none" w:sz="0" w:space="0" w:color="auto"/>
                          </w:divBdr>
                          <w:divsChild>
                            <w:div w:id="510146197">
                              <w:marLeft w:val="0"/>
                              <w:marRight w:val="0"/>
                              <w:marTop w:val="0"/>
                              <w:marBottom w:val="0"/>
                              <w:divBdr>
                                <w:top w:val="none" w:sz="0" w:space="0" w:color="auto"/>
                                <w:left w:val="none" w:sz="0" w:space="0" w:color="auto"/>
                                <w:bottom w:val="none" w:sz="0" w:space="0" w:color="auto"/>
                                <w:right w:val="none" w:sz="0" w:space="0" w:color="auto"/>
                              </w:divBdr>
                              <w:divsChild>
                                <w:div w:id="1682321535">
                                  <w:marLeft w:val="0"/>
                                  <w:marRight w:val="0"/>
                                  <w:marTop w:val="0"/>
                                  <w:marBottom w:val="0"/>
                                  <w:divBdr>
                                    <w:top w:val="none" w:sz="0" w:space="0" w:color="auto"/>
                                    <w:left w:val="none" w:sz="0" w:space="0" w:color="auto"/>
                                    <w:bottom w:val="none" w:sz="0" w:space="0" w:color="auto"/>
                                    <w:right w:val="none" w:sz="0" w:space="0" w:color="auto"/>
                                  </w:divBdr>
                                  <w:divsChild>
                                    <w:div w:id="597296371">
                                      <w:marLeft w:val="0"/>
                                      <w:marRight w:val="0"/>
                                      <w:marTop w:val="0"/>
                                      <w:marBottom w:val="750"/>
                                      <w:divBdr>
                                        <w:top w:val="none" w:sz="0" w:space="0" w:color="auto"/>
                                        <w:left w:val="none" w:sz="0" w:space="0" w:color="auto"/>
                                        <w:bottom w:val="none" w:sz="0" w:space="0" w:color="auto"/>
                                        <w:right w:val="none" w:sz="0" w:space="0" w:color="auto"/>
                                      </w:divBdr>
                                      <w:divsChild>
                                        <w:div w:id="214392439">
                                          <w:marLeft w:val="0"/>
                                          <w:marRight w:val="0"/>
                                          <w:marTop w:val="0"/>
                                          <w:marBottom w:val="0"/>
                                          <w:divBdr>
                                            <w:top w:val="none" w:sz="0" w:space="0" w:color="auto"/>
                                            <w:left w:val="none" w:sz="0" w:space="0" w:color="auto"/>
                                            <w:bottom w:val="none" w:sz="0" w:space="0" w:color="auto"/>
                                            <w:right w:val="none" w:sz="0" w:space="0" w:color="auto"/>
                                          </w:divBdr>
                                          <w:divsChild>
                                            <w:div w:id="646084553">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sChild>
                                                    <w:div w:id="16996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125266">
      <w:bodyDiv w:val="1"/>
      <w:marLeft w:val="0"/>
      <w:marRight w:val="0"/>
      <w:marTop w:val="0"/>
      <w:marBottom w:val="0"/>
      <w:divBdr>
        <w:top w:val="none" w:sz="0" w:space="0" w:color="auto"/>
        <w:left w:val="none" w:sz="0" w:space="0" w:color="auto"/>
        <w:bottom w:val="none" w:sz="0" w:space="0" w:color="auto"/>
        <w:right w:val="none" w:sz="0" w:space="0" w:color="auto"/>
      </w:divBdr>
      <w:divsChild>
        <w:div w:id="86735275">
          <w:marLeft w:val="0"/>
          <w:marRight w:val="0"/>
          <w:marTop w:val="0"/>
          <w:marBottom w:val="0"/>
          <w:divBdr>
            <w:top w:val="none" w:sz="0" w:space="0" w:color="auto"/>
            <w:left w:val="none" w:sz="0" w:space="0" w:color="auto"/>
            <w:bottom w:val="none" w:sz="0" w:space="0" w:color="auto"/>
            <w:right w:val="none" w:sz="0" w:space="0" w:color="auto"/>
          </w:divBdr>
          <w:divsChild>
            <w:div w:id="901985717">
              <w:marLeft w:val="0"/>
              <w:marRight w:val="0"/>
              <w:marTop w:val="0"/>
              <w:marBottom w:val="0"/>
              <w:divBdr>
                <w:top w:val="none" w:sz="0" w:space="0" w:color="auto"/>
                <w:left w:val="none" w:sz="0" w:space="0" w:color="auto"/>
                <w:bottom w:val="none" w:sz="0" w:space="0" w:color="auto"/>
                <w:right w:val="none" w:sz="0" w:space="0" w:color="auto"/>
              </w:divBdr>
              <w:divsChild>
                <w:div w:id="871381624">
                  <w:marLeft w:val="0"/>
                  <w:marRight w:val="0"/>
                  <w:marTop w:val="0"/>
                  <w:marBottom w:val="0"/>
                  <w:divBdr>
                    <w:top w:val="none" w:sz="0" w:space="0" w:color="auto"/>
                    <w:left w:val="none" w:sz="0" w:space="0" w:color="auto"/>
                    <w:bottom w:val="none" w:sz="0" w:space="0" w:color="auto"/>
                    <w:right w:val="none" w:sz="0" w:space="0" w:color="auto"/>
                  </w:divBdr>
                  <w:divsChild>
                    <w:div w:id="12229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2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A617-1017-4FF4-8B5C-9B207944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470</Words>
  <Characters>2679</Characters>
  <Application>Microsoft Office Word</Application>
  <DocSecurity>0</DocSecurity>
  <Lines>22</Lines>
  <Paragraphs>6</Paragraphs>
  <ScaleCrop>false</ScaleCrop>
  <Company>Microsoft</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行政院環境保護署預算執行及重大採購案推動小組第四一四次會議議程</dc:title>
  <dc:subject/>
  <dc:creator>張凱程</dc:creator>
  <cp:keywords/>
  <cp:lastModifiedBy>user</cp:lastModifiedBy>
  <cp:revision>9</cp:revision>
  <cp:lastPrinted>2022-06-16T09:50:00Z</cp:lastPrinted>
  <dcterms:created xsi:type="dcterms:W3CDTF">2022-06-16T09:53:00Z</dcterms:created>
  <dcterms:modified xsi:type="dcterms:W3CDTF">2022-06-18T02:12:00Z</dcterms:modified>
</cp:coreProperties>
</file>